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b/>
          <w:color w:val="auto"/>
          <w:sz w:val="44"/>
          <w:szCs w:val="44"/>
          <w:highlight w:val="none"/>
        </w:rPr>
      </w:pPr>
      <w:bookmarkStart w:id="6" w:name="_GoBack"/>
      <w:r>
        <w:rPr>
          <w:rFonts w:hint="eastAsia" w:ascii="宋体" w:hAnsi="宋体"/>
          <w:b/>
          <w:color w:val="auto"/>
          <w:sz w:val="44"/>
          <w:szCs w:val="44"/>
          <w:highlight w:val="none"/>
        </w:rPr>
        <w:t>北京市石景山区卫生健康委员会</w:t>
      </w:r>
    </w:p>
    <w:p>
      <w:pPr>
        <w:widowControl/>
        <w:adjustRightInd w:val="0"/>
        <w:snapToGrid w:val="0"/>
        <w:spacing w:line="240" w:lineRule="atLeast"/>
        <w:jc w:val="center"/>
        <w:rPr>
          <w:rFonts w:hint="eastAsia" w:ascii="宋体" w:hAnsi="宋体" w:cs="宋体"/>
          <w:b/>
          <w:bCs/>
          <w:color w:val="auto"/>
          <w:kern w:val="0"/>
          <w:sz w:val="44"/>
          <w:szCs w:val="44"/>
          <w:highlight w:val="none"/>
          <w:lang w:val="en-US" w:eastAsia="zh-CN"/>
        </w:rPr>
      </w:pPr>
      <w:r>
        <w:rPr>
          <w:rFonts w:hint="eastAsia" w:ascii="宋体" w:hAnsi="宋体" w:cs="宋体"/>
          <w:b/>
          <w:bCs/>
          <w:color w:val="auto"/>
          <w:kern w:val="0"/>
          <w:sz w:val="44"/>
          <w:szCs w:val="44"/>
          <w:highlight w:val="none"/>
        </w:rPr>
        <w:t>关于印发</w:t>
      </w:r>
      <w:r>
        <w:rPr>
          <w:rFonts w:hint="eastAsia" w:ascii="宋体" w:hAnsi="宋体" w:cs="宋体"/>
          <w:b/>
          <w:bCs/>
          <w:color w:val="auto"/>
          <w:kern w:val="0"/>
          <w:sz w:val="44"/>
          <w:szCs w:val="44"/>
          <w:highlight w:val="none"/>
          <w:lang w:val="en-US" w:eastAsia="zh-CN"/>
        </w:rPr>
        <w:t>2022年石景山区放射卫生</w:t>
      </w:r>
    </w:p>
    <w:p>
      <w:pPr>
        <w:widowControl/>
        <w:adjustRightInd w:val="0"/>
        <w:snapToGrid w:val="0"/>
        <w:spacing w:line="240" w:lineRule="atLeast"/>
        <w:jc w:val="center"/>
        <w:rPr>
          <w:rFonts w:ascii="宋体" w:cs="宋体"/>
          <w:b/>
          <w:bCs/>
          <w:color w:val="auto"/>
          <w:kern w:val="0"/>
          <w:sz w:val="44"/>
          <w:szCs w:val="44"/>
          <w:highlight w:val="none"/>
        </w:rPr>
      </w:pPr>
      <w:r>
        <w:rPr>
          <w:rFonts w:hint="eastAsia" w:ascii="宋体" w:hAnsi="宋体" w:cs="宋体"/>
          <w:b/>
          <w:bCs/>
          <w:color w:val="auto"/>
          <w:kern w:val="0"/>
          <w:sz w:val="44"/>
          <w:szCs w:val="44"/>
          <w:highlight w:val="none"/>
          <w:lang w:val="en-US" w:eastAsia="zh-CN"/>
        </w:rPr>
        <w:t>监测项目工作实施方案</w:t>
      </w:r>
      <w:r>
        <w:rPr>
          <w:rFonts w:hint="eastAsia" w:ascii="宋体" w:hAnsi="宋体" w:cs="宋体"/>
          <w:b/>
          <w:bCs/>
          <w:color w:val="auto"/>
          <w:kern w:val="0"/>
          <w:sz w:val="44"/>
          <w:szCs w:val="44"/>
          <w:highlight w:val="none"/>
        </w:rPr>
        <w:t>的通知</w:t>
      </w:r>
    </w:p>
    <w:bookmarkEnd w:id="6"/>
    <w:p>
      <w:pPr>
        <w:widowControl/>
        <w:adjustRightInd w:val="0"/>
        <w:snapToGrid w:val="0"/>
        <w:spacing w:line="240" w:lineRule="atLeast"/>
        <w:rPr>
          <w:rFonts w:ascii="仿宋_GB2312" w:hAnsi="宋体" w:eastAsia="仿宋_GB2312"/>
          <w:color w:val="auto"/>
          <w:kern w:val="0"/>
          <w:sz w:val="32"/>
          <w:szCs w:val="32"/>
          <w:highlight w:val="none"/>
        </w:rPr>
      </w:pPr>
    </w:p>
    <w:p>
      <w:pPr>
        <w:snapToGrid w:val="0"/>
        <w:spacing w:line="520" w:lineRule="atLeast"/>
        <w:jc w:val="left"/>
        <w:rPr>
          <w:rFonts w:ascii="仿宋_GB2312" w:hAnsi="宋体" w:eastAsia="仿宋_GB2312"/>
          <w:color w:val="auto"/>
          <w:sz w:val="32"/>
          <w:szCs w:val="32"/>
          <w:highlight w:val="none"/>
        </w:rPr>
      </w:pPr>
      <w:r>
        <w:rPr>
          <w:rFonts w:hint="eastAsia" w:ascii="仿宋_GB2312" w:hAnsi="宋体" w:eastAsia="仿宋_GB2312" w:cs="仿宋_GB2312"/>
          <w:color w:val="auto"/>
          <w:sz w:val="32"/>
          <w:szCs w:val="32"/>
          <w:highlight w:val="none"/>
        </w:rPr>
        <w:t>辖区各放射诊疗机构、非医用辐射机构</w:t>
      </w:r>
      <w:r>
        <w:rPr>
          <w:rFonts w:hint="eastAsia" w:ascii="仿宋_GB2312" w:hAnsi="宋体" w:eastAsia="仿宋_GB2312" w:cs="仿宋_GB2312"/>
          <w:color w:val="auto"/>
          <w:sz w:val="32"/>
          <w:szCs w:val="32"/>
          <w:highlight w:val="none"/>
          <w:lang w:eastAsia="zh-CN"/>
        </w:rPr>
        <w:t>，区疾控中心</w:t>
      </w:r>
      <w:r>
        <w:rPr>
          <w:rFonts w:hint="eastAsia" w:ascii="仿宋_GB2312" w:hAnsi="宋体" w:eastAsia="仿宋_GB2312" w:cs="仿宋_GB2312"/>
          <w:color w:val="auto"/>
          <w:sz w:val="32"/>
          <w:szCs w:val="32"/>
          <w:highlight w:val="none"/>
        </w:rPr>
        <w:t>：</w:t>
      </w:r>
    </w:p>
    <w:p>
      <w:pPr>
        <w:snapToGrid w:val="0"/>
        <w:spacing w:line="520" w:lineRule="atLeast"/>
        <w:ind w:firstLine="640" w:firstLineChars="200"/>
        <w:rPr>
          <w:rFonts w:hint="eastAsia"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lang w:val="en-US" w:eastAsia="zh-CN"/>
        </w:rPr>
        <w:t>按照《北京市卫生健康委员会关于印发2022年北京市放射卫生监测项目工作方案的通知》（京卫职健〔2022〕18号）要求</w:t>
      </w:r>
      <w:r>
        <w:rPr>
          <w:rFonts w:hint="eastAsia" w:ascii="仿宋_GB2312" w:hAnsi="宋体" w:eastAsia="仿宋_GB2312" w:cs="仿宋_GB2312"/>
          <w:color w:val="auto"/>
          <w:sz w:val="32"/>
          <w:szCs w:val="32"/>
          <w:highlight w:val="none"/>
        </w:rPr>
        <w:t>，</w:t>
      </w:r>
      <w:r>
        <w:rPr>
          <w:rFonts w:hint="eastAsia" w:ascii="仿宋_GB2312" w:hAnsi="宋体" w:eastAsia="仿宋_GB2312" w:cs="仿宋_GB2312"/>
          <w:color w:val="auto"/>
          <w:sz w:val="32"/>
          <w:szCs w:val="32"/>
          <w:highlight w:val="none"/>
          <w:lang w:val="en-US" w:eastAsia="zh-CN"/>
        </w:rPr>
        <w:t>为进一步做好2022年辖区放射卫生监测工作，规范工作流程，我委</w:t>
      </w:r>
      <w:r>
        <w:rPr>
          <w:rFonts w:hint="eastAsia" w:ascii="仿宋_GB2312" w:hAnsi="宋体" w:eastAsia="仿宋_GB2312" w:cs="仿宋_GB2312"/>
          <w:color w:val="auto"/>
          <w:sz w:val="32"/>
          <w:szCs w:val="32"/>
          <w:highlight w:val="none"/>
        </w:rPr>
        <w:t>组织制定了</w:t>
      </w:r>
      <w:r>
        <w:rPr>
          <w:rFonts w:hint="eastAsia" w:ascii="仿宋_GB2312" w:hAnsi="宋体" w:eastAsia="仿宋_GB2312" w:cs="仿宋_GB2312"/>
          <w:color w:val="auto"/>
          <w:sz w:val="32"/>
          <w:szCs w:val="32"/>
          <w:highlight w:val="none"/>
          <w:lang w:eastAsia="zh-CN"/>
        </w:rPr>
        <w:t>《</w:t>
      </w:r>
      <w:r>
        <w:rPr>
          <w:rFonts w:hint="eastAsia" w:ascii="仿宋_GB2312" w:hAnsi="宋体" w:eastAsia="仿宋_GB2312" w:cs="仿宋_GB2312"/>
          <w:color w:val="auto"/>
          <w:sz w:val="32"/>
          <w:szCs w:val="32"/>
          <w:highlight w:val="none"/>
        </w:rPr>
        <w:t>2022年石景山区职业性放射性疾病监测工作实施方案</w:t>
      </w:r>
      <w:r>
        <w:rPr>
          <w:rFonts w:hint="eastAsia" w:ascii="仿宋_GB2312" w:hAnsi="宋体" w:eastAsia="仿宋_GB2312" w:cs="仿宋_GB2312"/>
          <w:color w:val="auto"/>
          <w:sz w:val="32"/>
          <w:szCs w:val="32"/>
          <w:highlight w:val="none"/>
          <w:lang w:eastAsia="zh-CN"/>
        </w:rPr>
        <w:t>》、《</w:t>
      </w:r>
      <w:r>
        <w:rPr>
          <w:rFonts w:hint="eastAsia" w:ascii="仿宋_GB2312" w:hAnsi="宋体" w:eastAsia="仿宋_GB2312" w:cs="仿宋_GB2312"/>
          <w:color w:val="auto"/>
          <w:sz w:val="32"/>
          <w:szCs w:val="32"/>
          <w:highlight w:val="none"/>
        </w:rPr>
        <w:t>2022年石景山区医疗卫生机构医用辐射防护监测工作实施方案</w:t>
      </w:r>
      <w:r>
        <w:rPr>
          <w:rFonts w:hint="eastAsia" w:ascii="仿宋_GB2312" w:hAnsi="宋体" w:eastAsia="仿宋_GB2312" w:cs="仿宋_GB2312"/>
          <w:color w:val="auto"/>
          <w:sz w:val="32"/>
          <w:szCs w:val="32"/>
          <w:highlight w:val="none"/>
          <w:lang w:eastAsia="zh-CN"/>
        </w:rPr>
        <w:t>》、《2022年石景山区非医疗机构放射性危害因素监测工作实施方案》</w:t>
      </w:r>
      <w:r>
        <w:rPr>
          <w:rFonts w:hint="eastAsia" w:ascii="仿宋_GB2312" w:hAnsi="宋体" w:eastAsia="仿宋_GB2312" w:cs="仿宋_GB2312"/>
          <w:color w:val="auto"/>
          <w:sz w:val="32"/>
          <w:szCs w:val="32"/>
          <w:highlight w:val="none"/>
          <w:lang w:val="en-US" w:eastAsia="zh-CN"/>
        </w:rPr>
        <w:t>等文件，</w:t>
      </w:r>
      <w:r>
        <w:rPr>
          <w:rFonts w:hint="eastAsia" w:ascii="仿宋_GB2312" w:hAnsi="宋体" w:eastAsia="仿宋_GB2312" w:cs="仿宋_GB2312"/>
          <w:color w:val="auto"/>
          <w:sz w:val="32"/>
          <w:szCs w:val="32"/>
          <w:highlight w:val="none"/>
        </w:rPr>
        <w:t>现印发你们，请认真组织落实。</w:t>
      </w:r>
    </w:p>
    <w:p>
      <w:pPr>
        <w:pStyle w:val="16"/>
        <w:snapToGrid w:val="0"/>
        <w:spacing w:line="520" w:lineRule="atLeast"/>
        <w:ind w:firstLine="640" w:firstLineChars="200"/>
        <w:jc w:val="left"/>
        <w:rPr>
          <w:rFonts w:hint="eastAsia" w:hAnsi="宋体"/>
          <w:color w:val="auto"/>
          <w:sz w:val="32"/>
          <w:szCs w:val="32"/>
          <w:highlight w:val="none"/>
        </w:rPr>
      </w:pPr>
      <w:r>
        <w:rPr>
          <w:rFonts w:hint="eastAsia" w:hAnsi="宋体"/>
          <w:color w:val="auto"/>
          <w:sz w:val="32"/>
          <w:szCs w:val="32"/>
          <w:highlight w:val="none"/>
        </w:rPr>
        <w:t>联系人</w:t>
      </w:r>
      <w:r>
        <w:rPr>
          <w:rFonts w:hint="eastAsia" w:hAnsi="宋体"/>
          <w:color w:val="auto"/>
          <w:sz w:val="32"/>
          <w:szCs w:val="32"/>
          <w:highlight w:val="none"/>
          <w:lang w:eastAsia="zh-CN"/>
        </w:rPr>
        <w:t>：祁</w:t>
      </w:r>
      <w:r>
        <w:rPr>
          <w:rFonts w:hint="eastAsia" w:hAnsi="宋体"/>
          <w:color w:val="auto"/>
          <w:sz w:val="32"/>
          <w:szCs w:val="32"/>
          <w:highlight w:val="none"/>
          <w:lang w:val="en-US" w:eastAsia="zh-CN"/>
        </w:rPr>
        <w:t xml:space="preserve">  </w:t>
      </w:r>
      <w:r>
        <w:rPr>
          <w:rFonts w:hint="eastAsia" w:hAnsi="宋体"/>
          <w:color w:val="auto"/>
          <w:sz w:val="32"/>
          <w:szCs w:val="32"/>
          <w:highlight w:val="none"/>
          <w:lang w:eastAsia="zh-CN"/>
        </w:rPr>
        <w:t>强（</w:t>
      </w:r>
      <w:r>
        <w:rPr>
          <w:rFonts w:hint="eastAsia" w:hAnsi="宋体"/>
          <w:color w:val="auto"/>
          <w:sz w:val="32"/>
          <w:szCs w:val="32"/>
          <w:highlight w:val="none"/>
        </w:rPr>
        <w:t>区卫生健康委</w:t>
      </w:r>
      <w:r>
        <w:rPr>
          <w:rFonts w:hint="eastAsia" w:hAnsi="宋体"/>
          <w:color w:val="auto"/>
          <w:sz w:val="32"/>
          <w:szCs w:val="32"/>
          <w:highlight w:val="none"/>
          <w:lang w:eastAsia="zh-CN"/>
        </w:rPr>
        <w:t>）</w:t>
      </w:r>
      <w:r>
        <w:rPr>
          <w:rFonts w:hint="eastAsia" w:hAnsi="宋体"/>
          <w:color w:val="auto"/>
          <w:sz w:val="32"/>
          <w:szCs w:val="32"/>
          <w:highlight w:val="none"/>
          <w:lang w:val="en-US" w:eastAsia="zh-CN"/>
        </w:rPr>
        <w:t>，88605003；</w:t>
      </w:r>
    </w:p>
    <w:p>
      <w:pPr>
        <w:pStyle w:val="16"/>
        <w:snapToGrid w:val="0"/>
        <w:spacing w:line="520" w:lineRule="atLeast"/>
        <w:ind w:firstLine="640" w:firstLineChars="200"/>
        <w:jc w:val="left"/>
        <w:rPr>
          <w:rFonts w:hint="eastAsia" w:hAnsi="宋体" w:eastAsia="仿宋_GB2312"/>
          <w:color w:val="auto"/>
          <w:sz w:val="32"/>
          <w:szCs w:val="32"/>
          <w:highlight w:val="none"/>
          <w:lang w:eastAsia="zh-CN"/>
        </w:rPr>
      </w:pPr>
      <w:r>
        <w:rPr>
          <w:rFonts w:hAnsi="宋体"/>
          <w:color w:val="auto"/>
          <w:sz w:val="32"/>
          <w:szCs w:val="32"/>
          <w:highlight w:val="none"/>
        </w:rPr>
        <w:t xml:space="preserve">    </w:t>
      </w:r>
      <w:r>
        <w:rPr>
          <w:rFonts w:hint="eastAsia" w:hAnsi="宋体"/>
          <w:color w:val="auto"/>
          <w:sz w:val="32"/>
          <w:szCs w:val="32"/>
          <w:highlight w:val="none"/>
          <w:lang w:val="en-US" w:eastAsia="zh-CN"/>
        </w:rPr>
        <w:t xml:space="preserve">    </w:t>
      </w:r>
      <w:r>
        <w:rPr>
          <w:rFonts w:hint="eastAsia" w:hAnsi="宋体"/>
          <w:color w:val="auto"/>
          <w:sz w:val="32"/>
          <w:szCs w:val="32"/>
          <w:highlight w:val="none"/>
        </w:rPr>
        <w:t>孟庆晨</w:t>
      </w:r>
      <w:r>
        <w:rPr>
          <w:rFonts w:hint="eastAsia" w:hAnsi="宋体"/>
          <w:color w:val="auto"/>
          <w:sz w:val="32"/>
          <w:szCs w:val="32"/>
          <w:highlight w:val="none"/>
          <w:lang w:eastAsia="zh-CN"/>
        </w:rPr>
        <w:t>（</w:t>
      </w:r>
      <w:r>
        <w:rPr>
          <w:rFonts w:hint="eastAsia" w:hAnsi="宋体"/>
          <w:color w:val="auto"/>
          <w:sz w:val="32"/>
          <w:szCs w:val="32"/>
          <w:highlight w:val="none"/>
        </w:rPr>
        <w:t>区疾控中心</w:t>
      </w:r>
      <w:r>
        <w:rPr>
          <w:rFonts w:hint="eastAsia" w:hAnsi="宋体"/>
          <w:color w:val="auto"/>
          <w:sz w:val="32"/>
          <w:szCs w:val="32"/>
          <w:highlight w:val="none"/>
          <w:lang w:eastAsia="zh-CN"/>
        </w:rPr>
        <w:t>），</w:t>
      </w:r>
      <w:r>
        <w:rPr>
          <w:rFonts w:hAnsi="宋体"/>
          <w:color w:val="auto"/>
          <w:sz w:val="32"/>
          <w:szCs w:val="32"/>
          <w:highlight w:val="none"/>
        </w:rPr>
        <w:t>886050</w:t>
      </w:r>
      <w:r>
        <w:rPr>
          <w:rFonts w:hint="eastAsia" w:hAnsi="宋体"/>
          <w:color w:val="auto"/>
          <w:sz w:val="32"/>
          <w:szCs w:val="32"/>
          <w:highlight w:val="none"/>
        </w:rPr>
        <w:t>09</w:t>
      </w:r>
      <w:r>
        <w:rPr>
          <w:rFonts w:hint="eastAsia" w:hAnsi="宋体"/>
          <w:color w:val="auto"/>
          <w:sz w:val="32"/>
          <w:szCs w:val="32"/>
          <w:highlight w:val="none"/>
          <w:lang w:eastAsia="zh-CN"/>
        </w:rPr>
        <w:t>。</w:t>
      </w:r>
    </w:p>
    <w:p>
      <w:pPr>
        <w:widowControl/>
        <w:adjustRightInd w:val="0"/>
        <w:snapToGrid w:val="0"/>
        <w:spacing w:line="520" w:lineRule="atLeast"/>
        <w:rPr>
          <w:rFonts w:ascii="仿宋_GB2312" w:hAnsi="仿宋_GB2312" w:eastAsia="仿宋_GB2312"/>
          <w:color w:val="auto"/>
          <w:kern w:val="0"/>
          <w:sz w:val="32"/>
          <w:szCs w:val="32"/>
          <w:highlight w:val="none"/>
        </w:rPr>
      </w:pPr>
    </w:p>
    <w:p>
      <w:pPr>
        <w:snapToGrid w:val="0"/>
        <w:spacing w:line="520" w:lineRule="atLeast"/>
        <w:ind w:left="1918" w:leftChars="304" w:hanging="1280" w:hangingChars="400"/>
        <w:jc w:val="left"/>
        <w:rPr>
          <w:rFonts w:hint="eastAsia" w:ascii="仿宋_GB2312" w:hAnsi="宋体" w:eastAsia="仿宋_GB2312" w:cs="仿宋_GB2312"/>
          <w:color w:val="auto"/>
          <w:sz w:val="32"/>
          <w:szCs w:val="32"/>
          <w:highlight w:val="none"/>
        </w:rPr>
      </w:pPr>
    </w:p>
    <w:p>
      <w:pPr>
        <w:snapToGrid w:val="0"/>
        <w:spacing w:line="520" w:lineRule="atLeast"/>
        <w:ind w:left="1918" w:leftChars="304" w:hanging="1280" w:hangingChars="400"/>
        <w:jc w:val="left"/>
        <w:rPr>
          <w:rFonts w:ascii="仿宋_GB2312" w:hAnsi="宋体" w:eastAsia="仿宋_GB2312"/>
          <w:color w:val="auto"/>
          <w:sz w:val="32"/>
          <w:szCs w:val="32"/>
          <w:highlight w:val="none"/>
        </w:rPr>
      </w:pPr>
      <w:r>
        <w:rPr>
          <w:rFonts w:hint="eastAsia" w:ascii="仿宋_GB2312" w:hAnsi="宋体" w:eastAsia="仿宋_GB2312" w:cs="仿宋_GB2312"/>
          <w:color w:val="auto"/>
          <w:sz w:val="32"/>
          <w:szCs w:val="32"/>
          <w:highlight w:val="none"/>
        </w:rPr>
        <w:t>附件：</w:t>
      </w:r>
      <w:r>
        <w:rPr>
          <w:rFonts w:ascii="仿宋_GB2312" w:hAnsi="宋体" w:eastAsia="仿宋_GB2312" w:cs="仿宋_GB2312"/>
          <w:color w:val="auto"/>
          <w:sz w:val="32"/>
          <w:szCs w:val="32"/>
          <w:highlight w:val="none"/>
        </w:rPr>
        <w:t>1</w:t>
      </w:r>
      <w:r>
        <w:rPr>
          <w:rFonts w:hint="eastAsia" w:ascii="仿宋_GB2312" w:hAnsi="宋体" w:eastAsia="仿宋_GB2312" w:cs="仿宋_GB2312"/>
          <w:color w:val="auto"/>
          <w:sz w:val="32"/>
          <w:szCs w:val="32"/>
          <w:highlight w:val="none"/>
        </w:rPr>
        <w:t>．</w:t>
      </w:r>
      <w:r>
        <w:rPr>
          <w:rFonts w:hint="eastAsia" w:ascii="仿宋_GB2312" w:hAnsi="宋体" w:eastAsia="仿宋_GB2312" w:cs="仿宋_GB2312"/>
          <w:color w:val="auto"/>
          <w:sz w:val="32"/>
          <w:szCs w:val="32"/>
          <w:highlight w:val="none"/>
          <w:lang w:val="en-US" w:eastAsia="zh-CN"/>
        </w:rPr>
        <w:t>2022年石景山区职业性放射性疾病监测工作实施方案</w:t>
      </w:r>
    </w:p>
    <w:p>
      <w:pPr>
        <w:snapToGrid w:val="0"/>
        <w:spacing w:line="520" w:lineRule="atLeast"/>
        <w:ind w:left="1916" w:leftChars="760" w:hanging="320" w:hangingChars="100"/>
        <w:jc w:val="left"/>
        <w:rPr>
          <w:rFonts w:hint="eastAsia" w:ascii="仿宋_GB2312" w:hAnsi="宋体" w:eastAsia="仿宋_GB2312" w:cs="仿宋_GB2312"/>
          <w:color w:val="auto"/>
          <w:sz w:val="32"/>
          <w:szCs w:val="32"/>
          <w:highlight w:val="none"/>
        </w:rPr>
      </w:pPr>
      <w:r>
        <w:rPr>
          <w:rFonts w:ascii="仿宋_GB2312" w:hAnsi="宋体" w:eastAsia="仿宋_GB2312" w:cs="仿宋_GB2312"/>
          <w:color w:val="auto"/>
          <w:sz w:val="32"/>
          <w:szCs w:val="32"/>
          <w:highlight w:val="none"/>
        </w:rPr>
        <w:t>2</w:t>
      </w:r>
      <w:r>
        <w:rPr>
          <w:rFonts w:hint="eastAsia" w:ascii="仿宋_GB2312" w:hAnsi="宋体" w:eastAsia="仿宋_GB2312" w:cs="仿宋_GB2312"/>
          <w:color w:val="auto"/>
          <w:sz w:val="32"/>
          <w:szCs w:val="32"/>
          <w:highlight w:val="none"/>
        </w:rPr>
        <w:t>．</w:t>
      </w:r>
      <w:r>
        <w:rPr>
          <w:rFonts w:hint="eastAsia" w:ascii="仿宋_GB2312" w:hAnsi="宋体" w:eastAsia="仿宋_GB2312" w:cs="仿宋_GB2312"/>
          <w:color w:val="auto"/>
          <w:sz w:val="32"/>
          <w:szCs w:val="32"/>
          <w:highlight w:val="none"/>
          <w:lang w:val="en-US" w:eastAsia="zh-CN"/>
        </w:rPr>
        <w:t>2022年石景山区医疗卫生机构医用辐射防护监测工作实施方案</w:t>
      </w:r>
    </w:p>
    <w:p>
      <w:pPr>
        <w:snapToGrid w:val="0"/>
        <w:spacing w:line="520" w:lineRule="atLeast"/>
        <w:ind w:left="1916" w:leftChars="760" w:hanging="320" w:hangingChars="100"/>
        <w:jc w:val="left"/>
        <w:rPr>
          <w:rFonts w:hint="eastAsia"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3.</w:t>
      </w:r>
      <w:r>
        <w:rPr>
          <w:rFonts w:hint="eastAsia" w:ascii="仿宋_GB2312" w:hAnsi="宋体" w:eastAsia="仿宋_GB2312" w:cs="仿宋_GB2312"/>
          <w:color w:val="auto"/>
          <w:sz w:val="32"/>
          <w:szCs w:val="32"/>
          <w:highlight w:val="none"/>
          <w:lang w:val="en-US" w:eastAsia="zh-CN"/>
        </w:rPr>
        <w:t>2022年石景山区非医疗机构放射性危害因素监测工作实施方案</w:t>
      </w:r>
    </w:p>
    <w:p>
      <w:pPr>
        <w:widowControl/>
        <w:adjustRightInd w:val="0"/>
        <w:snapToGrid w:val="0"/>
        <w:spacing w:line="560" w:lineRule="atLeast"/>
        <w:rPr>
          <w:rFonts w:ascii="仿宋_GB2312" w:hAnsi="仿宋_GB2312" w:eastAsia="仿宋_GB2312"/>
          <w:color w:val="auto"/>
          <w:kern w:val="0"/>
          <w:sz w:val="32"/>
          <w:szCs w:val="32"/>
          <w:highlight w:val="none"/>
        </w:rPr>
      </w:pPr>
    </w:p>
    <w:p>
      <w:pPr>
        <w:snapToGrid w:val="0"/>
        <w:spacing w:line="560" w:lineRule="atLeast"/>
        <w:ind w:firstLine="4160" w:firstLineChars="1300"/>
        <w:rPr>
          <w:rFonts w:ascii="仿宋_GB2312" w:hAnsi="宋体" w:eastAsia="仿宋_GB2312"/>
          <w:color w:val="auto"/>
          <w:sz w:val="32"/>
          <w:szCs w:val="32"/>
          <w:highlight w:val="none"/>
        </w:rPr>
      </w:pPr>
      <w:r>
        <w:rPr>
          <w:rFonts w:hint="eastAsia" w:ascii="仿宋_GB2312" w:hAnsi="宋体" w:eastAsia="仿宋_GB2312" w:cs="仿宋_GB2312"/>
          <w:color w:val="auto"/>
          <w:sz w:val="32"/>
          <w:szCs w:val="32"/>
          <w:highlight w:val="none"/>
        </w:rPr>
        <w:t>北京市石景山区卫生健康委员会</w:t>
      </w:r>
    </w:p>
    <w:p>
      <w:pPr>
        <w:snapToGrid w:val="0"/>
        <w:spacing w:line="560" w:lineRule="atLeast"/>
        <w:ind w:firstLine="5440" w:firstLineChars="1700"/>
        <w:rPr>
          <w:rFonts w:hint="eastAsia"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20</w:t>
      </w:r>
      <w:r>
        <w:rPr>
          <w:rFonts w:hint="eastAsia" w:ascii="仿宋_GB2312" w:hAnsi="宋体" w:eastAsia="仿宋_GB2312" w:cs="仿宋_GB2312"/>
          <w:color w:val="auto"/>
          <w:sz w:val="32"/>
          <w:szCs w:val="32"/>
          <w:highlight w:val="none"/>
          <w:lang w:val="en-US" w:eastAsia="zh-CN"/>
        </w:rPr>
        <w:t>22</w:t>
      </w:r>
      <w:r>
        <w:rPr>
          <w:rFonts w:hint="eastAsia" w:ascii="仿宋_GB2312" w:hAnsi="宋体" w:eastAsia="仿宋_GB2312" w:cs="仿宋_GB2312"/>
          <w:color w:val="auto"/>
          <w:sz w:val="32"/>
          <w:szCs w:val="32"/>
          <w:highlight w:val="none"/>
        </w:rPr>
        <w:t>年</w:t>
      </w:r>
      <w:r>
        <w:rPr>
          <w:rFonts w:hint="eastAsia" w:ascii="仿宋_GB2312" w:hAnsi="宋体" w:eastAsia="仿宋_GB2312" w:cs="仿宋_GB2312"/>
          <w:color w:val="auto"/>
          <w:sz w:val="32"/>
          <w:szCs w:val="32"/>
          <w:highlight w:val="none"/>
          <w:lang w:val="en-US" w:eastAsia="zh-CN"/>
        </w:rPr>
        <w:t>8</w:t>
      </w:r>
      <w:r>
        <w:rPr>
          <w:rFonts w:hint="eastAsia" w:ascii="仿宋_GB2312" w:hAnsi="宋体" w:eastAsia="仿宋_GB2312" w:cs="仿宋_GB2312"/>
          <w:color w:val="auto"/>
          <w:sz w:val="32"/>
          <w:szCs w:val="32"/>
          <w:highlight w:val="none"/>
        </w:rPr>
        <w:t>月</w:t>
      </w:r>
      <w:r>
        <w:rPr>
          <w:rFonts w:hint="eastAsia" w:ascii="仿宋_GB2312" w:hAnsi="宋体" w:eastAsia="仿宋_GB2312" w:cs="仿宋_GB2312"/>
          <w:color w:val="auto"/>
          <w:sz w:val="32"/>
          <w:szCs w:val="32"/>
          <w:highlight w:val="none"/>
          <w:lang w:val="en-US" w:eastAsia="zh-CN"/>
        </w:rPr>
        <w:t>29</w:t>
      </w:r>
      <w:r>
        <w:rPr>
          <w:rFonts w:hint="eastAsia" w:ascii="仿宋_GB2312" w:hAnsi="宋体" w:eastAsia="仿宋_GB2312" w:cs="仿宋_GB2312"/>
          <w:color w:val="auto"/>
          <w:sz w:val="32"/>
          <w:szCs w:val="32"/>
          <w:highlight w:val="none"/>
        </w:rPr>
        <w:t>日</w:t>
      </w:r>
    </w:p>
    <w:p>
      <w:pPr>
        <w:snapToGrid w:val="0"/>
        <w:spacing w:line="560" w:lineRule="atLeast"/>
        <w:rPr>
          <w:rFonts w:ascii="仿宋_GB2312" w:hAnsi="宋体" w:eastAsia="仿宋_GB2312"/>
          <w:color w:val="auto"/>
          <w:sz w:val="32"/>
          <w:szCs w:val="32"/>
        </w:rPr>
      </w:pPr>
      <w:r>
        <w:rPr>
          <w:rFonts w:ascii="黑体" w:hAnsi="黑体" w:eastAsia="黑体"/>
          <w:color w:val="auto"/>
          <w:kern w:val="0"/>
          <w:sz w:val="32"/>
          <w:szCs w:val="32"/>
        </w:rPr>
        <w:br w:type="page"/>
      </w:r>
      <w:r>
        <w:rPr>
          <w:rFonts w:hint="eastAsia" w:ascii="黑体" w:hAnsi="黑体" w:eastAsia="黑体" w:cs="黑体"/>
          <w:color w:val="auto"/>
          <w:sz w:val="32"/>
          <w:szCs w:val="32"/>
        </w:rPr>
        <w:t>附件</w:t>
      </w:r>
      <w:r>
        <w:rPr>
          <w:rFonts w:ascii="黑体" w:hAnsi="黑体" w:eastAsia="黑体" w:cs="黑体"/>
          <w:color w:val="auto"/>
          <w:sz w:val="32"/>
          <w:szCs w:val="32"/>
        </w:rPr>
        <w:t>1</w:t>
      </w:r>
    </w:p>
    <w:p>
      <w:pPr>
        <w:widowControl/>
        <w:adjustRightInd w:val="0"/>
        <w:snapToGrid w:val="0"/>
        <w:spacing w:line="560" w:lineRule="atLeast"/>
        <w:jc w:val="center"/>
        <w:rPr>
          <w:rFonts w:hint="eastAsia" w:ascii="宋体" w:hAnsi="宋体" w:cs="宋体"/>
          <w:b/>
          <w:bCs/>
          <w:color w:val="auto"/>
          <w:kern w:val="0"/>
          <w:sz w:val="44"/>
          <w:szCs w:val="44"/>
        </w:rPr>
      </w:pPr>
      <w:r>
        <w:rPr>
          <w:rFonts w:hint="eastAsia" w:ascii="宋体" w:hAnsi="宋体" w:cs="宋体"/>
          <w:b/>
          <w:bCs/>
          <w:color w:val="auto"/>
          <w:kern w:val="0"/>
          <w:sz w:val="44"/>
          <w:szCs w:val="44"/>
          <w:lang w:val="en-US" w:eastAsia="zh-CN"/>
        </w:rPr>
        <w:t>2022</w:t>
      </w:r>
      <w:r>
        <w:rPr>
          <w:rFonts w:hint="eastAsia" w:ascii="宋体" w:hAnsi="宋体" w:cs="宋体"/>
          <w:b/>
          <w:bCs/>
          <w:color w:val="auto"/>
          <w:kern w:val="0"/>
          <w:sz w:val="44"/>
          <w:szCs w:val="44"/>
        </w:rPr>
        <w:t>年石景山区职业性放射性疾病</w:t>
      </w:r>
    </w:p>
    <w:p>
      <w:pPr>
        <w:widowControl/>
        <w:adjustRightInd w:val="0"/>
        <w:snapToGrid w:val="0"/>
        <w:spacing w:line="560" w:lineRule="atLeast"/>
        <w:jc w:val="center"/>
        <w:rPr>
          <w:rFonts w:hint="eastAsia" w:ascii="宋体" w:hAnsi="宋体" w:cs="宋体"/>
          <w:b/>
          <w:bCs/>
          <w:color w:val="auto"/>
          <w:kern w:val="0"/>
          <w:sz w:val="44"/>
          <w:szCs w:val="44"/>
        </w:rPr>
      </w:pPr>
      <w:r>
        <w:rPr>
          <w:rFonts w:hint="eastAsia" w:ascii="宋体" w:hAnsi="宋体" w:cs="宋体"/>
          <w:b/>
          <w:bCs/>
          <w:color w:val="auto"/>
          <w:kern w:val="0"/>
          <w:sz w:val="44"/>
          <w:szCs w:val="44"/>
        </w:rPr>
        <w:t>监测工作实施方案</w:t>
      </w:r>
    </w:p>
    <w:p>
      <w:pPr>
        <w:snapToGrid w:val="0"/>
        <w:spacing w:line="500" w:lineRule="atLeast"/>
        <w:rPr>
          <w:rFonts w:ascii="仿宋_GB2312" w:eastAsia="仿宋_GB2312"/>
          <w:color w:val="auto"/>
          <w:sz w:val="32"/>
          <w:szCs w:val="32"/>
        </w:rPr>
      </w:pPr>
    </w:p>
    <w:p>
      <w:pPr>
        <w:snapToGrid w:val="0"/>
        <w:spacing w:line="520" w:lineRule="exact"/>
        <w:ind w:firstLine="640" w:firstLineChars="200"/>
        <w:rPr>
          <w:rFonts w:hint="eastAsia" w:ascii="仿宋_GB2312" w:eastAsia="仿宋_GB2312" w:cs="仿宋_GB2312"/>
          <w:color w:val="auto"/>
          <w:sz w:val="32"/>
          <w:szCs w:val="32"/>
        </w:rPr>
      </w:pPr>
      <w:bookmarkStart w:id="0" w:name="_Hlk13521162"/>
      <w:r>
        <w:rPr>
          <w:rFonts w:hint="eastAsia" w:ascii="仿宋_GB2312" w:eastAsia="仿宋_GB2312" w:cs="仿宋_GB2312"/>
          <w:color w:val="auto"/>
          <w:sz w:val="32"/>
          <w:szCs w:val="32"/>
        </w:rPr>
        <w:t>为贯彻落实《中华人民共和国职业病防治法》，预防和控制职业性放射性疾病，保护放射工作人员职业健康，推进2022年</w:t>
      </w:r>
      <w:r>
        <w:rPr>
          <w:rFonts w:hint="eastAsia" w:ascii="仿宋_GB2312" w:eastAsia="仿宋_GB2312" w:cs="仿宋_GB2312"/>
          <w:color w:val="auto"/>
          <w:sz w:val="32"/>
          <w:szCs w:val="32"/>
          <w:lang w:val="en-US" w:eastAsia="zh-CN"/>
        </w:rPr>
        <w:t>石景山区</w:t>
      </w:r>
      <w:r>
        <w:rPr>
          <w:rFonts w:hint="eastAsia" w:ascii="仿宋_GB2312" w:eastAsia="仿宋_GB2312" w:cs="仿宋_GB2312"/>
          <w:color w:val="auto"/>
          <w:sz w:val="32"/>
          <w:szCs w:val="32"/>
        </w:rPr>
        <w:t>职业性放射性疾病监测工作有序开展，</w:t>
      </w:r>
      <w:r>
        <w:rPr>
          <w:rFonts w:hint="eastAsia" w:ascii="仿宋_GB2312" w:eastAsia="仿宋_GB2312" w:cs="仿宋_GB2312"/>
          <w:color w:val="auto"/>
          <w:sz w:val="32"/>
          <w:szCs w:val="32"/>
          <w:lang w:val="en-US" w:eastAsia="zh-CN"/>
        </w:rPr>
        <w:t>按照</w:t>
      </w:r>
      <w:r>
        <w:rPr>
          <w:rFonts w:hint="eastAsia" w:ascii="仿宋_GB2312" w:eastAsia="仿宋_GB2312" w:cs="仿宋_GB2312"/>
          <w:color w:val="auto"/>
          <w:sz w:val="32"/>
          <w:szCs w:val="32"/>
        </w:rPr>
        <w:t>《北京市卫生健康委员会关于印发2022年北京市放射卫生监测项目工作方案的通知》（京卫职健〔2022〕18号）要求，结合石景山区实际，</w:t>
      </w:r>
      <w:bookmarkEnd w:id="0"/>
      <w:r>
        <w:rPr>
          <w:rFonts w:hint="eastAsia" w:ascii="仿宋_GB2312" w:eastAsia="仿宋_GB2312" w:cs="仿宋_GB2312"/>
          <w:color w:val="auto"/>
          <w:sz w:val="32"/>
          <w:szCs w:val="32"/>
        </w:rPr>
        <w:t>制定《202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年石景山区职业性放射性疾病监测工作实施方案》。</w:t>
      </w:r>
    </w:p>
    <w:p>
      <w:pPr>
        <w:pStyle w:val="16"/>
        <w:snapToGrid w:val="0"/>
        <w:spacing w:line="520" w:lineRule="exact"/>
        <w:ind w:firstLine="640" w:firstLineChars="200"/>
        <w:jc w:val="left"/>
        <w:rPr>
          <w:rFonts w:ascii="黑体" w:eastAsia="黑体" w:cs="Times New Roman"/>
          <w:color w:val="auto"/>
          <w:sz w:val="32"/>
          <w:szCs w:val="32"/>
        </w:rPr>
      </w:pPr>
      <w:r>
        <w:rPr>
          <w:rFonts w:hint="eastAsia" w:ascii="黑体" w:eastAsia="黑体" w:cs="黑体"/>
          <w:color w:val="auto"/>
          <w:sz w:val="32"/>
          <w:szCs w:val="32"/>
        </w:rPr>
        <w:t>一、监测目标</w:t>
      </w: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掌握石景山区放射工作人员职业健康监护和职业性放射性疾病诊断等基本情况，分析职业性放射性疾病的防治现状，了解和掌握发病特点及规律，发现防治工作中的薄弱环节，为制定职业性放射性疾病防治政策、完善法规标准、明确放射卫生工作重点提供科学依据，最大限度地保护放射工作人员的职业健康权益。</w:t>
      </w:r>
    </w:p>
    <w:p>
      <w:pPr>
        <w:snapToGrid w:val="0"/>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二、监测范围</w:t>
      </w:r>
    </w:p>
    <w:p>
      <w:pPr>
        <w:snapToGrid w:val="0"/>
        <w:spacing w:line="52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石景山区</w:t>
      </w:r>
      <w:r>
        <w:rPr>
          <w:rFonts w:hint="eastAsia" w:ascii="仿宋_GB2312" w:eastAsia="仿宋_GB2312"/>
          <w:color w:val="auto"/>
          <w:sz w:val="32"/>
          <w:szCs w:val="32"/>
          <w:highlight w:val="none"/>
        </w:rPr>
        <w:t>职业性放射性疾病监测项目包括放射诊疗机构职业健康管理基本情况、</w:t>
      </w:r>
      <w:r>
        <w:rPr>
          <w:rFonts w:hint="eastAsia" w:ascii="仿宋_GB2312" w:eastAsia="仿宋_GB2312"/>
          <w:color w:val="auto"/>
          <w:sz w:val="32"/>
          <w:szCs w:val="32"/>
          <w:highlight w:val="none"/>
          <w:lang w:eastAsia="zh-CN"/>
        </w:rPr>
        <w:t>医院放射工作人员职业健康管理情况、</w:t>
      </w:r>
      <w:r>
        <w:rPr>
          <w:rFonts w:hint="eastAsia" w:ascii="仿宋_GB2312" w:eastAsia="仿宋_GB2312"/>
          <w:color w:val="auto"/>
          <w:sz w:val="32"/>
          <w:szCs w:val="32"/>
          <w:highlight w:val="none"/>
        </w:rPr>
        <w:t>过量受照人员医学随访</w:t>
      </w:r>
      <w:r>
        <w:rPr>
          <w:rFonts w:hint="eastAsia" w:ascii="仿宋_GB2312" w:eastAsia="仿宋_GB2312"/>
          <w:color w:val="auto"/>
          <w:sz w:val="32"/>
          <w:szCs w:val="32"/>
          <w:highlight w:val="none"/>
          <w:lang w:eastAsia="zh-CN"/>
        </w:rPr>
        <w:t>和核医学工作摸底调查与监测</w:t>
      </w:r>
      <w:r>
        <w:rPr>
          <w:rFonts w:hint="eastAsia" w:ascii="仿宋_GB2312" w:eastAsia="仿宋_GB2312"/>
          <w:color w:val="auto"/>
          <w:sz w:val="32"/>
          <w:szCs w:val="32"/>
          <w:highlight w:val="none"/>
          <w:lang w:val="en-US" w:eastAsia="zh-CN"/>
        </w:rPr>
        <w:t>四</w:t>
      </w:r>
      <w:r>
        <w:rPr>
          <w:rFonts w:hint="eastAsia" w:ascii="仿宋_GB2312" w:eastAsia="仿宋_GB2312"/>
          <w:color w:val="auto"/>
          <w:sz w:val="32"/>
          <w:szCs w:val="32"/>
          <w:highlight w:val="none"/>
        </w:rPr>
        <w:t>部分。</w:t>
      </w: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监测范围覆盖辖区内全部放射诊疗机构。</w:t>
      </w:r>
    </w:p>
    <w:p>
      <w:pPr>
        <w:snapToGrid w:val="0"/>
        <w:spacing w:line="520" w:lineRule="exact"/>
        <w:ind w:firstLine="640" w:firstLineChars="200"/>
        <w:rPr>
          <w:rFonts w:ascii="黑体" w:hAnsi="黑体" w:eastAsia="黑体"/>
          <w:color w:val="auto"/>
          <w:sz w:val="32"/>
          <w:szCs w:val="32"/>
        </w:rPr>
      </w:pPr>
      <w:r>
        <w:rPr>
          <w:rFonts w:hint="eastAsia" w:ascii="黑体" w:hAnsi="黑体" w:eastAsia="黑体" w:cs="黑体"/>
          <w:color w:val="auto"/>
          <w:sz w:val="32"/>
          <w:szCs w:val="32"/>
        </w:rPr>
        <w:t>三、监测内容</w:t>
      </w:r>
    </w:p>
    <w:p>
      <w:pPr>
        <w:snapToGrid w:val="0"/>
        <w:spacing w:line="52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w:t>
      </w:r>
      <w:r>
        <w:rPr>
          <w:rFonts w:hint="eastAsia" w:ascii="仿宋_GB2312" w:eastAsia="仿宋_GB2312" w:cs="仿宋_GB2312"/>
          <w:color w:val="auto"/>
          <w:sz w:val="32"/>
          <w:szCs w:val="32"/>
          <w:highlight w:val="none"/>
          <w:lang w:eastAsia="zh-CN"/>
        </w:rPr>
        <w:t>石景山区</w:t>
      </w:r>
      <w:r>
        <w:rPr>
          <w:rFonts w:hint="eastAsia" w:ascii="仿宋_GB2312" w:eastAsia="仿宋_GB2312" w:cs="仿宋_GB2312"/>
          <w:color w:val="auto"/>
          <w:sz w:val="32"/>
          <w:szCs w:val="32"/>
          <w:highlight w:val="none"/>
        </w:rPr>
        <w:t>职业性放射性疾病监测对象为放射工作人员、过量受照人员。采取常规监测、职业健康检查、医学随访、现场调查、网络报告、质量控制工作相结合的方式进行。</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（一）放射诊疗机构职业健康管理基本情况</w:t>
      </w:r>
    </w:p>
    <w:p>
      <w:pPr>
        <w:snapToGrid w:val="0"/>
        <w:spacing w:line="52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区卫生健康委负责组织、统计辖区内放射诊疗机构数（不包含口腔诊所）</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组织辖区内全部放射诊疗机构填报、更新“北京市放射卫生监测数据库”，导出“2022年北京市放射诊疗机构基本信息表”（见附表</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），并报送至市疾控中心</w:t>
      </w:r>
      <w:r>
        <w:rPr>
          <w:rFonts w:hint="eastAsia" w:ascii="仿宋_GB2312" w:eastAsia="仿宋_GB2312" w:cs="仿宋_GB2312"/>
          <w:color w:val="auto"/>
          <w:sz w:val="32"/>
          <w:szCs w:val="32"/>
          <w:lang w:eastAsia="zh-CN"/>
        </w:rPr>
        <w:t>。</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w:t>
      </w:r>
      <w:r>
        <w:rPr>
          <w:rFonts w:hint="eastAsia" w:ascii="楷体_GB2312" w:hAnsi="楷体" w:eastAsia="楷体_GB2312" w:cs="楷体_GB2312"/>
          <w:color w:val="auto"/>
          <w:sz w:val="32"/>
          <w:szCs w:val="32"/>
          <w:lang w:eastAsia="zh-CN"/>
        </w:rPr>
        <w:t>二</w:t>
      </w:r>
      <w:r>
        <w:rPr>
          <w:rFonts w:hint="eastAsia" w:ascii="楷体_GB2312" w:hAnsi="楷体" w:eastAsia="楷体_GB2312" w:cs="楷体_GB2312"/>
          <w:color w:val="auto"/>
          <w:sz w:val="32"/>
          <w:szCs w:val="32"/>
        </w:rPr>
        <w:t>）</w:t>
      </w:r>
      <w:r>
        <w:rPr>
          <w:rFonts w:hint="eastAsia" w:ascii="楷体_GB2312" w:hAnsi="楷体" w:eastAsia="楷体_GB2312" w:cs="楷体_GB2312"/>
          <w:color w:val="auto"/>
          <w:sz w:val="32"/>
          <w:szCs w:val="32"/>
          <w:lang w:eastAsia="zh-CN"/>
        </w:rPr>
        <w:t>医院放射工作人员职业健康管理情况</w:t>
      </w:r>
    </w:p>
    <w:p>
      <w:pPr>
        <w:snapToGrid w:val="0"/>
        <w:spacing w:line="52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区疾控中心负责组织辖区内全部放射诊疗机构填报、更新“北京市放射卫生监测数据库”，导出“2022年北京市监测医院放射工作人员职业健康管理报告表”（见附表</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）；掌握医院基本情况、个人防护用品配备情况、超剂量情况、放射防护配套设备和放射工作人员职业健康监护等情况。</w:t>
      </w:r>
    </w:p>
    <w:p>
      <w:pPr>
        <w:snapToGrid w:val="0"/>
        <w:spacing w:line="52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数据采集时间起止点见各调查表说明，无特殊备注均为2021.7～2022.6（体检与培训采集时间为2020.7～2022.6）。</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w:t>
      </w:r>
      <w:r>
        <w:rPr>
          <w:rFonts w:hint="eastAsia" w:ascii="楷体_GB2312" w:hAnsi="楷体" w:eastAsia="楷体_GB2312" w:cs="楷体_GB2312"/>
          <w:color w:val="auto"/>
          <w:sz w:val="32"/>
          <w:szCs w:val="32"/>
          <w:lang w:val="en-US" w:eastAsia="zh-CN"/>
        </w:rPr>
        <w:t>三</w:t>
      </w:r>
      <w:r>
        <w:rPr>
          <w:rFonts w:hint="eastAsia" w:ascii="楷体_GB2312" w:hAnsi="楷体" w:eastAsia="楷体_GB2312" w:cs="楷体_GB2312"/>
          <w:color w:val="auto"/>
          <w:sz w:val="32"/>
          <w:szCs w:val="32"/>
        </w:rPr>
        <w:t>）过量受照人员医学随访</w:t>
      </w:r>
    </w:p>
    <w:p>
      <w:pPr>
        <w:snapToGrid w:val="0"/>
        <w:spacing w:line="52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在</w:t>
      </w:r>
      <w:r>
        <w:rPr>
          <w:rFonts w:hint="eastAsia" w:ascii="仿宋_GB2312" w:eastAsia="仿宋_GB2312" w:cs="仿宋_GB2312"/>
          <w:color w:val="auto"/>
          <w:sz w:val="32"/>
          <w:szCs w:val="32"/>
          <w:lang w:val="en-US" w:eastAsia="zh-CN"/>
        </w:rPr>
        <w:t>2021</w:t>
      </w:r>
      <w:r>
        <w:rPr>
          <w:rFonts w:hint="eastAsia" w:ascii="仿宋_GB2312" w:eastAsia="仿宋_GB2312" w:cs="仿宋_GB2312"/>
          <w:color w:val="auto"/>
          <w:sz w:val="32"/>
          <w:szCs w:val="32"/>
        </w:rPr>
        <w:t>年建立的事故库基础上，继续收集、整理辖区内既往职业性放射性疾病患者、事故受照人员及20</w:t>
      </w:r>
      <w:r>
        <w:rPr>
          <w:rFonts w:hint="eastAsia" w:ascii="仿宋_GB2312" w:eastAsia="仿宋_GB2312" w:cs="仿宋_GB2312"/>
          <w:color w:val="auto"/>
          <w:sz w:val="32"/>
          <w:szCs w:val="32"/>
          <w:lang w:val="en-US" w:eastAsia="zh-CN"/>
        </w:rPr>
        <w:t>21</w:t>
      </w:r>
      <w:r>
        <w:rPr>
          <w:rFonts w:hint="eastAsia" w:ascii="仿宋_GB2312" w:eastAsia="仿宋_GB2312" w:cs="仿宋_GB2312"/>
          <w:color w:val="auto"/>
          <w:sz w:val="32"/>
          <w:szCs w:val="32"/>
        </w:rPr>
        <w:t>年剂量≥20mSv放射工作人员的基本健康情况及治疗康复情况，录入“过量受照人员登记表”（见附表</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本着“应访尽访”原则，完善本辖区被随访人员体检数据，并开展上一年度新增超剂量人员医学随访；调查上述人员的生存状态，采集近期（近5年内）健康体检报告，并提交健康检查数据，针对2021年过量受照人员医学随访中死亡人员，2022年需进行死因调查，填写死因调查表；撰写本辖区过量受照人员医学随访报告。</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w:t>
      </w:r>
      <w:r>
        <w:rPr>
          <w:rFonts w:hint="eastAsia" w:ascii="楷体_GB2312" w:hAnsi="楷体" w:eastAsia="楷体_GB2312" w:cs="楷体_GB2312"/>
          <w:color w:val="auto"/>
          <w:sz w:val="32"/>
          <w:szCs w:val="32"/>
          <w:lang w:val="en-US" w:eastAsia="zh-CN"/>
        </w:rPr>
        <w:t>四</w:t>
      </w:r>
      <w:r>
        <w:rPr>
          <w:rFonts w:hint="eastAsia" w:ascii="楷体_GB2312" w:hAnsi="楷体" w:eastAsia="楷体_GB2312" w:cs="楷体_GB2312"/>
          <w:color w:val="auto"/>
          <w:sz w:val="32"/>
          <w:szCs w:val="32"/>
        </w:rPr>
        <w:t>）核医学工作摸底调查与监测</w:t>
      </w:r>
    </w:p>
    <w:p>
      <w:pPr>
        <w:snapToGrid w:val="0"/>
        <w:spacing w:line="52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区卫生健康委负责组织辖区内开展核医学诊疗项目的放射诊疗机构填报“核医学工作人员监测-医院基本情况调查表和核医学工作人员职业健康调查表”（见附表</w:t>
      </w: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），组织对从事I-131治疗的核医学人员开展内照射剂量监测。</w:t>
      </w:r>
    </w:p>
    <w:p>
      <w:pPr>
        <w:pStyle w:val="23"/>
        <w:adjustRightInd w:val="0"/>
        <w:snapToGrid w:val="0"/>
        <w:spacing w:line="520" w:lineRule="exact"/>
        <w:ind w:left="640" w:firstLine="0" w:firstLineChars="0"/>
        <w:rPr>
          <w:rFonts w:ascii="黑体" w:hAnsi="Times New Roman" w:eastAsia="黑体" w:cs="Times New Roman"/>
          <w:color w:val="auto"/>
          <w:sz w:val="32"/>
          <w:szCs w:val="32"/>
        </w:rPr>
      </w:pPr>
      <w:r>
        <w:rPr>
          <w:rFonts w:hint="eastAsia" w:ascii="黑体" w:hAnsi="Times New Roman" w:eastAsia="黑体" w:cs="黑体"/>
          <w:color w:val="auto"/>
          <w:sz w:val="32"/>
          <w:szCs w:val="32"/>
        </w:rPr>
        <w:t>四、项目管理要求</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（一）各部门职责</w:t>
      </w:r>
    </w:p>
    <w:p>
      <w:pPr>
        <w:snapToGrid w:val="0"/>
        <w:spacing w:line="520" w:lineRule="exact"/>
        <w:ind w:firstLine="643" w:firstLineChars="200"/>
        <w:jc w:val="left"/>
        <w:rPr>
          <w:rFonts w:hint="eastAsia" w:ascii="仿宋_GB2312" w:hAnsi="宋体" w:eastAsia="仿宋_GB2312"/>
          <w:b w:val="0"/>
          <w:bCs w:val="0"/>
          <w:color w:val="auto"/>
          <w:sz w:val="32"/>
          <w:szCs w:val="32"/>
        </w:rPr>
      </w:pPr>
      <w:r>
        <w:rPr>
          <w:rFonts w:hint="eastAsia" w:ascii="仿宋_GB2312" w:hAnsi="宋体" w:eastAsia="仿宋_GB2312"/>
          <w:b/>
          <w:bCs/>
          <w:color w:val="auto"/>
          <w:sz w:val="32"/>
          <w:szCs w:val="32"/>
        </w:rPr>
        <w:t>1.区卫生健康委：</w:t>
      </w:r>
      <w:r>
        <w:rPr>
          <w:rFonts w:hint="eastAsia" w:ascii="仿宋_GB2312" w:hAnsi="宋体" w:eastAsia="仿宋_GB2312"/>
          <w:b w:val="0"/>
          <w:bCs w:val="0"/>
          <w:color w:val="auto"/>
          <w:sz w:val="32"/>
          <w:szCs w:val="32"/>
        </w:rPr>
        <w:t>负责组织实施辖区监测工作，制定实施方案</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rPr>
        <w:t>组织各放射诊疗机构填报、更新“北京市放射卫生监测数据库”，</w:t>
      </w:r>
      <w:r>
        <w:rPr>
          <w:rFonts w:hint="eastAsia" w:ascii="仿宋_GB2312" w:hAnsi="宋体" w:eastAsia="仿宋_GB2312"/>
          <w:b w:val="0"/>
          <w:bCs w:val="0"/>
          <w:color w:val="auto"/>
          <w:sz w:val="32"/>
          <w:szCs w:val="32"/>
          <w:lang w:eastAsia="zh-CN"/>
        </w:rPr>
        <w:t>组织</w:t>
      </w:r>
      <w:r>
        <w:rPr>
          <w:rFonts w:hint="eastAsia" w:ascii="仿宋_GB2312" w:hAnsi="宋体" w:eastAsia="仿宋_GB2312"/>
          <w:b w:val="0"/>
          <w:bCs w:val="0"/>
          <w:color w:val="auto"/>
          <w:sz w:val="32"/>
          <w:szCs w:val="32"/>
        </w:rPr>
        <w:t>核医学机构填写调查用表</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rPr>
        <w:t>协调事故受照或过量受照人员进行医学随访，</w:t>
      </w:r>
      <w:r>
        <w:rPr>
          <w:rFonts w:hint="eastAsia" w:ascii="仿宋_GB2312" w:hAnsi="宋体" w:eastAsia="仿宋_GB2312"/>
          <w:b w:val="0"/>
          <w:bCs w:val="0"/>
          <w:color w:val="auto"/>
          <w:sz w:val="32"/>
          <w:szCs w:val="32"/>
          <w:lang w:val="en-US" w:eastAsia="zh-CN"/>
        </w:rPr>
        <w:t>组织</w:t>
      </w:r>
      <w:r>
        <w:rPr>
          <w:rFonts w:hint="eastAsia" w:ascii="仿宋_GB2312" w:hAnsi="宋体" w:eastAsia="仿宋_GB2312"/>
          <w:b w:val="0"/>
          <w:bCs w:val="0"/>
          <w:color w:val="auto"/>
          <w:sz w:val="32"/>
          <w:szCs w:val="32"/>
        </w:rPr>
        <w:t>区疾控中心进行数据采集、报送辖区内监测点和监测医院信息表。组织辖区项目自查，督促项目承担机构按时上报监测数据和工作总结，确保监测工作顺利进行。</w:t>
      </w:r>
    </w:p>
    <w:p>
      <w:pPr>
        <w:snapToGrid w:val="0"/>
        <w:spacing w:line="520" w:lineRule="exact"/>
        <w:ind w:firstLine="643" w:firstLineChars="200"/>
        <w:jc w:val="left"/>
        <w:rPr>
          <w:rFonts w:hint="eastAsia" w:ascii="仿宋_GB2312" w:hAnsi="宋体" w:eastAsia="仿宋_GB2312" w:cs="仿宋_GB2312"/>
          <w:color w:val="auto"/>
          <w:sz w:val="32"/>
          <w:szCs w:val="32"/>
          <w:highlight w:val="none"/>
        </w:rPr>
      </w:pPr>
      <w:r>
        <w:rPr>
          <w:rFonts w:hint="eastAsia" w:ascii="仿宋_GB2312" w:hAnsi="宋体" w:eastAsia="仿宋_GB2312" w:cs="仿宋_GB2312"/>
          <w:b/>
          <w:bCs/>
          <w:color w:val="auto"/>
          <w:sz w:val="32"/>
          <w:szCs w:val="32"/>
          <w:highlight w:val="none"/>
        </w:rPr>
        <w:t>2.区疾控中心：</w:t>
      </w:r>
      <w:r>
        <w:rPr>
          <w:rFonts w:hint="eastAsia" w:ascii="仿宋_GB2312" w:hAnsi="宋体" w:eastAsia="仿宋_GB2312" w:cs="仿宋_GB2312"/>
          <w:color w:val="auto"/>
          <w:sz w:val="32"/>
          <w:szCs w:val="32"/>
          <w:highlight w:val="none"/>
        </w:rPr>
        <w:t>在区卫生健康委、市疾控中心的组织和协调下，负责辖区内监测数据采集、信息核实和事故及过量受照人员医学随访。报送监测数据和工作总结。</w:t>
      </w:r>
    </w:p>
    <w:p>
      <w:pPr>
        <w:snapToGrid w:val="0"/>
        <w:spacing w:line="520" w:lineRule="exact"/>
        <w:ind w:firstLine="643" w:firstLineChars="200"/>
        <w:jc w:val="left"/>
        <w:rPr>
          <w:rFonts w:hint="eastAsia" w:ascii="仿宋_GB2312" w:hAnsi="宋体" w:eastAsia="仿宋_GB2312" w:cs="仿宋_GB2312"/>
          <w:color w:val="auto"/>
          <w:sz w:val="32"/>
          <w:szCs w:val="32"/>
          <w:highlight w:val="none"/>
        </w:rPr>
      </w:pPr>
      <w:r>
        <w:rPr>
          <w:rFonts w:hint="eastAsia" w:ascii="仿宋_GB2312" w:hAnsi="宋体" w:eastAsia="仿宋_GB2312" w:cs="仿宋_GB2312"/>
          <w:b/>
          <w:bCs/>
          <w:color w:val="auto"/>
          <w:sz w:val="32"/>
          <w:szCs w:val="32"/>
        </w:rPr>
        <w:t>3.各医疗机构：</w:t>
      </w:r>
      <w:r>
        <w:rPr>
          <w:rFonts w:hint="eastAsia" w:ascii="仿宋_GB2312" w:hAnsi="宋体" w:eastAsia="仿宋_GB2312" w:cs="仿宋_GB2312"/>
          <w:color w:val="auto"/>
          <w:sz w:val="32"/>
          <w:szCs w:val="32"/>
        </w:rPr>
        <w:t>负责</w:t>
      </w:r>
      <w:r>
        <w:rPr>
          <w:rFonts w:hint="eastAsia" w:ascii="仿宋_GB2312" w:hAnsi="宋体" w:eastAsia="仿宋_GB2312" w:cs="仿宋_GB2312"/>
          <w:color w:val="auto"/>
          <w:sz w:val="32"/>
          <w:szCs w:val="32"/>
          <w:highlight w:val="none"/>
        </w:rPr>
        <w:t>填报、更新“北京市放射卫生监测数据库”并导出调查用表，提交I-131治疗核医学人员清单，配合市、区疾控中心进行数据采集。</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（二）工作进度要求</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blHeader/>
        </w:trPr>
        <w:tc>
          <w:tcPr>
            <w:tcW w:w="136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时间</w:t>
            </w:r>
          </w:p>
        </w:tc>
        <w:tc>
          <w:tcPr>
            <w:tcW w:w="1620"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工作阶段</w:t>
            </w:r>
          </w:p>
        </w:tc>
        <w:tc>
          <w:tcPr>
            <w:tcW w:w="629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工作进度要求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36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lang w:val="en-US" w:eastAsia="zh-CN"/>
              </w:rPr>
              <w:t>7月</w:t>
            </w:r>
            <w:r>
              <w:rPr>
                <w:rFonts w:hint="eastAsia" w:ascii="仿宋_GB2312" w:hAnsi="宋体" w:eastAsia="仿宋_GB2312" w:cs="仿宋_GB2312"/>
                <w:color w:val="auto"/>
                <w:kern w:val="2"/>
                <w:sz w:val="28"/>
                <w:szCs w:val="28"/>
              </w:rPr>
              <w:t>～</w:t>
            </w:r>
            <w:r>
              <w:rPr>
                <w:rFonts w:hint="eastAsia" w:ascii="仿宋_GB2312" w:hAnsi="宋体" w:eastAsia="仿宋_GB2312" w:cs="仿宋_GB2312"/>
                <w:color w:val="auto"/>
                <w:kern w:val="2"/>
                <w:sz w:val="28"/>
                <w:szCs w:val="28"/>
                <w:lang w:val="en-US" w:eastAsia="zh-CN"/>
              </w:rPr>
              <w:t>8</w:t>
            </w:r>
            <w:r>
              <w:rPr>
                <w:rFonts w:hint="eastAsia" w:ascii="仿宋_GB2312" w:hAnsi="宋体" w:eastAsia="仿宋_GB2312" w:cs="仿宋_GB2312"/>
                <w:color w:val="auto"/>
                <w:kern w:val="2"/>
                <w:sz w:val="28"/>
                <w:szCs w:val="28"/>
              </w:rPr>
              <w:t>月</w:t>
            </w:r>
          </w:p>
        </w:tc>
        <w:tc>
          <w:tcPr>
            <w:tcW w:w="1620"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项目启动、培训阶段</w:t>
            </w:r>
          </w:p>
        </w:tc>
        <w:tc>
          <w:tcPr>
            <w:tcW w:w="6298" w:type="dxa"/>
            <w:vAlign w:val="center"/>
          </w:tcPr>
          <w:p>
            <w:pPr>
              <w:pStyle w:val="21"/>
              <w:ind w:left="280" w:hanging="280" w:hangingChars="100"/>
              <w:jc w:val="both"/>
              <w:rPr>
                <w:rFonts w:hint="eastAsia" w:ascii="仿宋_GB2312" w:hAnsi="宋体" w:eastAsia="仿宋_GB2312" w:cs="仿宋_GB2312"/>
                <w:color w:val="auto"/>
                <w:kern w:val="2"/>
                <w:sz w:val="28"/>
                <w:szCs w:val="28"/>
                <w:highlight w:val="none"/>
              </w:rPr>
            </w:pPr>
            <w:r>
              <w:rPr>
                <w:rFonts w:hint="eastAsia" w:ascii="仿宋_GB2312" w:hAnsi="宋体" w:eastAsia="仿宋_GB2312" w:cs="仿宋_GB2312"/>
                <w:color w:val="auto"/>
                <w:kern w:val="2"/>
                <w:sz w:val="28"/>
                <w:szCs w:val="28"/>
                <w:highlight w:val="none"/>
              </w:rPr>
              <w:t>①8月10日前，辖区全部核医学机构</w:t>
            </w:r>
            <w:r>
              <w:rPr>
                <w:rFonts w:hint="eastAsia" w:ascii="仿宋_GB2312" w:hAnsi="宋体" w:eastAsia="仿宋_GB2312" w:cs="仿宋_GB2312"/>
                <w:color w:val="auto"/>
                <w:kern w:val="2"/>
                <w:sz w:val="28"/>
                <w:szCs w:val="28"/>
                <w:highlight w:val="none"/>
                <w:lang w:eastAsia="zh-CN"/>
              </w:rPr>
              <w:t>将</w:t>
            </w:r>
            <w:r>
              <w:rPr>
                <w:rFonts w:hint="eastAsia" w:ascii="仿宋_GB2312" w:hAnsi="宋体" w:eastAsia="仿宋_GB2312" w:cs="仿宋_GB2312"/>
                <w:color w:val="auto"/>
                <w:kern w:val="2"/>
                <w:sz w:val="28"/>
                <w:szCs w:val="28"/>
                <w:highlight w:val="none"/>
              </w:rPr>
              <w:t>I-131治疗核医学人员清单报区疾控中心；</w:t>
            </w:r>
          </w:p>
          <w:p>
            <w:pPr>
              <w:pStyle w:val="21"/>
              <w:ind w:left="280" w:hanging="280" w:hangingChars="100"/>
              <w:jc w:val="both"/>
              <w:rPr>
                <w:rFonts w:hint="eastAsia" w:ascii="仿宋_GB2312" w:hAnsi="宋体" w:eastAsia="仿宋_GB2312" w:cs="仿宋_GB2312"/>
                <w:color w:val="auto"/>
                <w:kern w:val="2"/>
                <w:sz w:val="28"/>
                <w:szCs w:val="28"/>
                <w:highlight w:val="none"/>
              </w:rPr>
            </w:pPr>
            <w:r>
              <w:rPr>
                <w:rFonts w:hint="eastAsia" w:ascii="仿宋_GB2312" w:hAnsi="宋体" w:eastAsia="仿宋_GB2312" w:cs="仿宋_GB2312"/>
                <w:color w:val="auto"/>
                <w:kern w:val="2"/>
                <w:sz w:val="28"/>
                <w:szCs w:val="28"/>
                <w:highlight w:val="none"/>
              </w:rPr>
              <w:t>②</w:t>
            </w:r>
            <w:r>
              <w:rPr>
                <w:rFonts w:hint="eastAsia" w:ascii="仿宋_GB2312" w:hAnsi="宋体" w:eastAsia="仿宋_GB2312" w:cs="仿宋_GB2312"/>
                <w:color w:val="auto"/>
                <w:kern w:val="2"/>
                <w:sz w:val="28"/>
                <w:szCs w:val="28"/>
                <w:highlight w:val="none"/>
                <w:lang w:val="en-US" w:eastAsia="zh-CN"/>
              </w:rPr>
              <w:t>8</w:t>
            </w:r>
            <w:r>
              <w:rPr>
                <w:rFonts w:hint="eastAsia" w:ascii="仿宋_GB2312" w:hAnsi="宋体" w:eastAsia="仿宋_GB2312" w:cs="仿宋_GB2312"/>
                <w:color w:val="auto"/>
                <w:kern w:val="2"/>
                <w:sz w:val="28"/>
                <w:szCs w:val="28"/>
                <w:highlight w:val="none"/>
              </w:rPr>
              <w:t>月31日前，区卫生健康委及疾控中心完成</w:t>
            </w:r>
            <w:r>
              <w:rPr>
                <w:rFonts w:hint="eastAsia" w:ascii="仿宋_GB2312" w:hAnsi="宋体" w:eastAsia="仿宋_GB2312" w:cs="仿宋_GB2312"/>
                <w:color w:val="auto"/>
                <w:kern w:val="2"/>
                <w:sz w:val="28"/>
                <w:szCs w:val="28"/>
                <w:highlight w:val="none"/>
                <w:lang w:val="en-US" w:eastAsia="zh-CN"/>
              </w:rPr>
              <w:t>辖区</w:t>
            </w:r>
            <w:r>
              <w:rPr>
                <w:rFonts w:hint="eastAsia" w:ascii="仿宋_GB2312" w:hAnsi="宋体" w:eastAsia="仿宋_GB2312" w:cs="仿宋_GB2312"/>
                <w:color w:val="auto"/>
                <w:kern w:val="2"/>
                <w:sz w:val="28"/>
                <w:szCs w:val="28"/>
                <w:highlight w:val="none"/>
              </w:rPr>
              <w:t>项目工作启动及培训，下发调查表。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368" w:type="dxa"/>
            <w:vMerge w:val="restart"/>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lang w:val="en-US" w:eastAsia="zh-CN"/>
              </w:rPr>
              <w:t>8</w:t>
            </w:r>
            <w:r>
              <w:rPr>
                <w:rFonts w:hint="eastAsia" w:ascii="仿宋_GB2312" w:hAnsi="宋体" w:eastAsia="仿宋_GB2312" w:cs="仿宋_GB2312"/>
                <w:color w:val="auto"/>
                <w:kern w:val="2"/>
                <w:sz w:val="28"/>
                <w:szCs w:val="28"/>
              </w:rPr>
              <w:t>月～11月</w:t>
            </w:r>
          </w:p>
        </w:tc>
        <w:tc>
          <w:tcPr>
            <w:tcW w:w="1620" w:type="dxa"/>
            <w:vAlign w:val="center"/>
          </w:tcPr>
          <w:p>
            <w:pPr>
              <w:pStyle w:val="21"/>
              <w:jc w:val="center"/>
              <w:rPr>
                <w:rFonts w:hint="eastAsia"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数据采集</w:t>
            </w:r>
          </w:p>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阶段</w:t>
            </w:r>
          </w:p>
        </w:tc>
        <w:tc>
          <w:tcPr>
            <w:tcW w:w="6298" w:type="dxa"/>
            <w:vAlign w:val="center"/>
          </w:tcPr>
          <w:p>
            <w:pPr>
              <w:pStyle w:val="21"/>
              <w:ind w:left="280" w:hanging="280" w:hangingChars="100"/>
              <w:jc w:val="both"/>
              <w:rPr>
                <w:rFonts w:hint="eastAsia" w:ascii="仿宋_GB2312" w:hAnsi="宋体" w:eastAsia="仿宋_GB2312" w:cs="仿宋_GB2312"/>
                <w:color w:val="auto"/>
                <w:kern w:val="2"/>
                <w:sz w:val="28"/>
                <w:szCs w:val="28"/>
                <w:highlight w:val="none"/>
                <w:lang w:eastAsia="zh-CN"/>
              </w:rPr>
            </w:pPr>
            <w:r>
              <w:rPr>
                <w:rFonts w:hint="eastAsia" w:ascii="仿宋_GB2312" w:hAnsi="宋体" w:eastAsia="仿宋_GB2312" w:cs="仿宋_GB2312"/>
                <w:color w:val="auto"/>
                <w:kern w:val="2"/>
                <w:sz w:val="28"/>
                <w:szCs w:val="28"/>
              </w:rPr>
              <w:t>①</w:t>
            </w:r>
            <w:r>
              <w:rPr>
                <w:rFonts w:hint="eastAsia" w:ascii="仿宋_GB2312" w:hAnsi="宋体" w:eastAsia="仿宋_GB2312" w:cs="仿宋_GB2312"/>
                <w:color w:val="auto"/>
                <w:kern w:val="2"/>
                <w:sz w:val="28"/>
                <w:szCs w:val="28"/>
                <w:highlight w:val="none"/>
                <w:lang w:eastAsia="zh-CN"/>
              </w:rPr>
              <w:t>10月1日前，医院按要求填报、更新“北京市放射卫生监测数据库”、核医学机构基本情况调查、完成调查表，并报区疾控中心；</w:t>
            </w:r>
          </w:p>
          <w:p>
            <w:pPr>
              <w:pStyle w:val="21"/>
              <w:ind w:left="280" w:hanging="280" w:hangingChars="100"/>
              <w:jc w:val="both"/>
              <w:rPr>
                <w:rFonts w:hint="eastAsia"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②10月20日前，区卫生健康委组织完成辖区项目自查；</w:t>
            </w:r>
          </w:p>
          <w:p>
            <w:pPr>
              <w:pStyle w:val="21"/>
              <w:ind w:left="280" w:hanging="280" w:hangingChars="100"/>
              <w:jc w:val="both"/>
              <w:rPr>
                <w:rFonts w:hint="eastAsia"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③11月5日前，区疾控中心完成辖区内事故受照及过量受照人员医学随访及随访报告</w:t>
            </w:r>
            <w:r>
              <w:rPr>
                <w:rFonts w:hint="eastAsia" w:ascii="仿宋_GB2312" w:hAnsi="宋体" w:eastAsia="仿宋_GB2312" w:cs="仿宋_GB2312"/>
                <w:color w:val="auto"/>
                <w:kern w:val="2"/>
                <w:sz w:val="28"/>
                <w:szCs w:val="28"/>
                <w:lang w:eastAsia="zh-CN"/>
              </w:rPr>
              <w:t>，</w:t>
            </w:r>
            <w:r>
              <w:rPr>
                <w:rFonts w:hint="eastAsia" w:ascii="仿宋_GB2312" w:hAnsi="宋体" w:eastAsia="仿宋_GB2312" w:cs="仿宋_GB2312"/>
                <w:color w:val="auto"/>
                <w:kern w:val="2"/>
                <w:sz w:val="28"/>
                <w:szCs w:val="28"/>
              </w:rPr>
              <w:t>报市疾控中心。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368" w:type="dxa"/>
            <w:vMerge w:val="continue"/>
            <w:vAlign w:val="center"/>
          </w:tcPr>
          <w:p>
            <w:pPr>
              <w:pStyle w:val="21"/>
              <w:jc w:val="center"/>
              <w:rPr>
                <w:rFonts w:hint="eastAsia" w:ascii="仿宋_GB2312" w:hAnsi="宋体" w:eastAsia="仿宋_GB2312" w:cs="仿宋_GB2312"/>
                <w:color w:val="auto"/>
                <w:kern w:val="2"/>
                <w:sz w:val="28"/>
                <w:szCs w:val="28"/>
              </w:rPr>
            </w:pPr>
          </w:p>
        </w:tc>
        <w:tc>
          <w:tcPr>
            <w:tcW w:w="1620" w:type="dxa"/>
            <w:vAlign w:val="center"/>
          </w:tcPr>
          <w:p>
            <w:pPr>
              <w:pStyle w:val="21"/>
              <w:jc w:val="center"/>
              <w:rPr>
                <w:rFonts w:hint="eastAsia"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数据复核与录入</w:t>
            </w:r>
          </w:p>
        </w:tc>
        <w:tc>
          <w:tcPr>
            <w:tcW w:w="629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240" w:lineRule="auto"/>
              <w:ind w:left="280" w:leftChars="0" w:right="0" w:rightChars="0" w:hanging="280" w:hangingChars="100"/>
              <w:jc w:val="both"/>
              <w:textAlignment w:val="auto"/>
              <w:outlineLvl w:val="9"/>
              <w:rPr>
                <w:rFonts w:hint="eastAsia" w:ascii="仿宋_GB2312" w:hAnsi="宋体" w:eastAsia="仿宋_GB2312" w:cs="仿宋_GB2312"/>
                <w:color w:val="auto"/>
                <w:kern w:val="2"/>
                <w:sz w:val="28"/>
                <w:szCs w:val="28"/>
                <w:lang w:val="en-US" w:eastAsia="zh-CN"/>
              </w:rPr>
            </w:pPr>
            <w:r>
              <w:rPr>
                <w:rFonts w:hint="eastAsia" w:ascii="仿宋_GB2312" w:hAnsi="宋体" w:eastAsia="仿宋_GB2312" w:cs="仿宋_GB2312"/>
                <w:color w:val="auto"/>
                <w:kern w:val="2"/>
                <w:sz w:val="28"/>
                <w:szCs w:val="28"/>
              </w:rPr>
              <w:t>①</w:t>
            </w:r>
            <w:r>
              <w:rPr>
                <w:rFonts w:hint="eastAsia" w:ascii="仿宋_GB2312" w:hAnsi="宋体" w:eastAsia="仿宋_GB2312" w:cs="仿宋_GB2312"/>
                <w:color w:val="auto"/>
                <w:kern w:val="2"/>
                <w:sz w:val="28"/>
                <w:szCs w:val="28"/>
                <w:lang w:val="en-US" w:eastAsia="zh-CN"/>
              </w:rPr>
              <w:t>11月5日前，区疾控中心对数据进行复核、完成网上录入、项目总结并报市疾控中心；</w:t>
            </w:r>
          </w:p>
          <w:p>
            <w:pPr>
              <w:pStyle w:val="21"/>
              <w:keepNext w:val="0"/>
              <w:keepLines w:val="0"/>
              <w:pageBreakBefore w:val="0"/>
              <w:widowControl w:val="0"/>
              <w:kinsoku/>
              <w:wordWrap/>
              <w:overflowPunct/>
              <w:topLinePunct w:val="0"/>
              <w:autoSpaceDE w:val="0"/>
              <w:autoSpaceDN w:val="0"/>
              <w:bidi w:val="0"/>
              <w:adjustRightInd w:val="0"/>
              <w:snapToGrid/>
              <w:spacing w:line="240" w:lineRule="auto"/>
              <w:ind w:left="280" w:leftChars="0" w:right="0" w:rightChars="0" w:hanging="280" w:hangingChars="100"/>
              <w:jc w:val="both"/>
              <w:textAlignment w:val="auto"/>
              <w:outlineLvl w:val="9"/>
              <w:rPr>
                <w:rFonts w:hint="eastAsia" w:ascii="仿宋_GB2312" w:hAnsi="宋体" w:eastAsia="仿宋_GB2312" w:cs="仿宋_GB2312"/>
                <w:color w:val="auto"/>
                <w:kern w:val="2"/>
                <w:sz w:val="28"/>
                <w:szCs w:val="28"/>
                <w:lang w:val="en-US" w:eastAsia="zh-CN"/>
              </w:rPr>
            </w:pPr>
            <w:r>
              <w:rPr>
                <w:rFonts w:hint="eastAsia" w:ascii="仿宋_GB2312" w:hAnsi="宋体" w:eastAsia="仿宋_GB2312" w:cs="仿宋_GB2312"/>
                <w:color w:val="auto"/>
                <w:kern w:val="2"/>
                <w:sz w:val="28"/>
                <w:szCs w:val="28"/>
              </w:rPr>
              <w:t>②11月</w:t>
            </w:r>
            <w:r>
              <w:rPr>
                <w:rFonts w:hint="eastAsia" w:ascii="仿宋_GB2312" w:hAnsi="宋体" w:eastAsia="仿宋_GB2312" w:cs="仿宋_GB2312"/>
                <w:color w:val="auto"/>
                <w:kern w:val="2"/>
                <w:sz w:val="28"/>
                <w:szCs w:val="28"/>
                <w:lang w:val="en-US" w:eastAsia="zh-CN"/>
              </w:rPr>
              <w:t>5</w:t>
            </w:r>
            <w:r>
              <w:rPr>
                <w:rFonts w:hint="eastAsia" w:ascii="仿宋_GB2312" w:hAnsi="宋体" w:eastAsia="仿宋_GB2312" w:cs="仿宋_GB2312"/>
                <w:color w:val="auto"/>
                <w:kern w:val="2"/>
                <w:sz w:val="28"/>
                <w:szCs w:val="28"/>
              </w:rPr>
              <w:t>日前，区卫生健康委将</w:t>
            </w:r>
            <w:r>
              <w:rPr>
                <w:rFonts w:hint="eastAsia" w:ascii="仿宋_GB2312" w:hAnsi="宋体" w:eastAsia="仿宋_GB2312" w:cs="仿宋_GB2312"/>
                <w:color w:val="auto"/>
                <w:kern w:val="2"/>
                <w:sz w:val="28"/>
                <w:szCs w:val="28"/>
                <w:lang w:eastAsia="zh-CN"/>
              </w:rPr>
              <w:t>辖区</w:t>
            </w:r>
            <w:r>
              <w:rPr>
                <w:rFonts w:hint="eastAsia" w:ascii="仿宋_GB2312" w:hAnsi="宋体" w:eastAsia="仿宋_GB2312" w:cs="仿宋_GB2312"/>
                <w:color w:val="auto"/>
                <w:kern w:val="2"/>
                <w:sz w:val="28"/>
                <w:szCs w:val="28"/>
              </w:rPr>
              <w:t>放射诊疗机构基本信息表报送市疾控中心。</w:t>
            </w:r>
          </w:p>
        </w:tc>
      </w:tr>
    </w:tbl>
    <w:p>
      <w:pPr>
        <w:snapToGrid w:val="0"/>
        <w:spacing w:line="520" w:lineRule="exact"/>
        <w:ind w:firstLine="640" w:firstLineChars="200"/>
        <w:jc w:val="left"/>
        <w:rPr>
          <w:rFonts w:ascii="楷体_GB2312" w:hAnsi="楷体" w:eastAsia="楷体_GB2312"/>
          <w:color w:val="auto"/>
          <w:sz w:val="32"/>
          <w:szCs w:val="32"/>
        </w:rPr>
      </w:pPr>
      <w:r>
        <w:rPr>
          <w:rFonts w:hint="eastAsia" w:ascii="楷体_GB2312" w:hAnsi="楷体" w:eastAsia="楷体_GB2312" w:cs="楷体_GB2312"/>
          <w:color w:val="auto"/>
          <w:sz w:val="32"/>
          <w:szCs w:val="32"/>
        </w:rPr>
        <w:t>（三）数据报送</w:t>
      </w:r>
    </w:p>
    <w:p>
      <w:pPr>
        <w:snapToGrid w:val="0"/>
        <w:spacing w:line="520" w:lineRule="exact"/>
        <w:ind w:firstLine="640" w:firstLineChars="200"/>
        <w:jc w:val="left"/>
        <w:rPr>
          <w:rFonts w:hint="eastAsia" w:ascii="仿宋_GB2312" w:eastAsia="仿宋_GB2312" w:cs="仿宋_GB2312"/>
          <w:color w:val="auto"/>
          <w:sz w:val="32"/>
          <w:szCs w:val="32"/>
        </w:rPr>
      </w:pPr>
      <w:r>
        <w:rPr>
          <w:rFonts w:hint="eastAsia" w:ascii="仿宋_GB2312" w:eastAsia="仿宋_GB2312" w:cs="仿宋_GB2312"/>
          <w:color w:val="auto"/>
          <w:sz w:val="32"/>
          <w:szCs w:val="32"/>
        </w:rPr>
        <w:t>各职责单位按上述时间节点报送数据。</w:t>
      </w:r>
    </w:p>
    <w:p>
      <w:pPr>
        <w:snapToGrid w:val="0"/>
        <w:spacing w:line="520" w:lineRule="exact"/>
        <w:ind w:firstLine="640" w:firstLineChars="200"/>
        <w:jc w:val="left"/>
        <w:rPr>
          <w:rFonts w:ascii="楷体_GB2312" w:hAnsi="楷体" w:eastAsia="楷体_GB2312"/>
          <w:color w:val="auto"/>
          <w:sz w:val="32"/>
          <w:szCs w:val="32"/>
          <w:highlight w:val="none"/>
        </w:rPr>
      </w:pPr>
      <w:r>
        <w:rPr>
          <w:rFonts w:hint="eastAsia" w:ascii="楷体_GB2312" w:hAnsi="楷体" w:eastAsia="楷体_GB2312" w:cs="楷体_GB2312"/>
          <w:color w:val="auto"/>
          <w:sz w:val="32"/>
          <w:szCs w:val="32"/>
          <w:highlight w:val="none"/>
        </w:rPr>
        <w:t>（</w:t>
      </w:r>
      <w:r>
        <w:rPr>
          <w:rFonts w:hint="eastAsia" w:ascii="楷体_GB2312" w:hAnsi="楷体" w:eastAsia="楷体_GB2312" w:cs="楷体_GB2312"/>
          <w:color w:val="auto"/>
          <w:sz w:val="32"/>
          <w:szCs w:val="32"/>
          <w:highlight w:val="none"/>
          <w:lang w:eastAsia="zh-CN"/>
        </w:rPr>
        <w:t>四</w:t>
      </w:r>
      <w:r>
        <w:rPr>
          <w:rFonts w:hint="eastAsia" w:ascii="楷体_GB2312" w:hAnsi="楷体" w:eastAsia="楷体_GB2312" w:cs="楷体_GB2312"/>
          <w:color w:val="auto"/>
          <w:sz w:val="32"/>
          <w:szCs w:val="32"/>
          <w:highlight w:val="none"/>
        </w:rPr>
        <w:t>）质量控制</w:t>
      </w:r>
    </w:p>
    <w:p>
      <w:pPr>
        <w:snapToGrid w:val="0"/>
        <w:spacing w:line="520" w:lineRule="exact"/>
        <w:ind w:firstLine="640" w:firstLineChars="200"/>
        <w:jc w:val="left"/>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1.做好监测业务培训。在开展监测工作中，广泛听取专家意见，科学设计监测方案。加强对技术人员的专业培训，并指定专人定点配合现场工作的实施，对出现的各类问题逐一解决，以确保监测工作在统一的标准下执行。</w:t>
      </w:r>
    </w:p>
    <w:p>
      <w:pPr>
        <w:snapToGrid w:val="0"/>
        <w:spacing w:line="520" w:lineRule="exact"/>
        <w:ind w:firstLine="640" w:firstLineChars="200"/>
        <w:jc w:val="left"/>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2.加强监测过程管理。区疾控中心按月度上报辖区职业性放射性疾病监测工作开展与进度情况。遇见重大质量问题及时向区卫生健康委报告。</w:t>
      </w:r>
    </w:p>
    <w:p>
      <w:pPr>
        <w:snapToGrid w:val="0"/>
        <w:spacing w:line="520" w:lineRule="exact"/>
        <w:ind w:firstLine="640" w:firstLineChars="200"/>
        <w:jc w:val="left"/>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3.加强数据报送。监测数据实行网络直报，注意数据录入环节的校验，减少数据差错和中间环节。</w:t>
      </w:r>
    </w:p>
    <w:p>
      <w:pPr>
        <w:snapToGrid w:val="0"/>
        <w:spacing w:line="520" w:lineRule="exact"/>
        <w:ind w:firstLine="640" w:firstLineChars="200"/>
        <w:jc w:val="left"/>
        <w:rPr>
          <w:rFonts w:hint="eastAsia" w:ascii="仿宋_GB2312" w:hAnsi="宋体" w:eastAsia="仿宋_GB2312" w:cs="仿宋_GB2312"/>
          <w:color w:val="auto"/>
          <w:sz w:val="32"/>
          <w:szCs w:val="32"/>
          <w:lang w:val="en-US" w:eastAsia="zh-CN"/>
        </w:rPr>
      </w:pPr>
      <w:r>
        <w:rPr>
          <w:rFonts w:hint="eastAsia" w:ascii="仿宋_GB2312" w:eastAsia="仿宋_GB2312" w:cs="仿宋_GB2312"/>
          <w:color w:val="auto"/>
          <w:sz w:val="32"/>
          <w:szCs w:val="32"/>
        </w:rPr>
        <w:t>附表：</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hint="eastAsia" w:ascii="仿宋_GB2312" w:hAnsi="宋体" w:eastAsia="仿宋_GB2312" w:cs="仿宋_GB2312"/>
          <w:color w:val="auto"/>
          <w:sz w:val="32"/>
          <w:szCs w:val="32"/>
          <w:lang w:val="en-US" w:eastAsia="zh-CN"/>
        </w:rPr>
        <w:t>2022年北京市放射诊疗机构基本信息表</w:t>
      </w:r>
    </w:p>
    <w:p>
      <w:pPr>
        <w:snapToGrid w:val="0"/>
        <w:spacing w:line="520" w:lineRule="exact"/>
        <w:ind w:left="2076" w:leftChars="760" w:hanging="480" w:hangingChars="150"/>
        <w:jc w:val="left"/>
        <w:rPr>
          <w:rFonts w:hint="eastAsia" w:ascii="仿宋_GB2312" w:eastAsia="仿宋_GB2312" w:cs="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．2022年北京市监测医院放射工作人员职业健康管理报告表</w:t>
      </w:r>
    </w:p>
    <w:p>
      <w:pPr>
        <w:snapToGrid w:val="0"/>
        <w:spacing w:line="520" w:lineRule="exact"/>
        <w:ind w:left="2076" w:leftChars="760" w:hanging="480" w:hangingChars="150"/>
        <w:jc w:val="left"/>
        <w:rPr>
          <w:rFonts w:hint="eastAsia" w:ascii="仿宋_GB2312" w:eastAsia="仿宋_GB2312" w:cs="仿宋_GB2312"/>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．过量受照人员登记表</w:t>
      </w:r>
    </w:p>
    <w:p>
      <w:pPr>
        <w:snapToGrid w:val="0"/>
        <w:spacing w:line="520" w:lineRule="exact"/>
        <w:ind w:left="2076" w:leftChars="760" w:hanging="480" w:hangingChars="150"/>
        <w:jc w:val="left"/>
        <w:rPr>
          <w:rFonts w:ascii="仿宋_GB2312" w:eastAsia="仿宋_GB2312"/>
          <w:color w:val="auto"/>
          <w:sz w:val="32"/>
          <w:szCs w:val="32"/>
        </w:rPr>
      </w:pP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．核医学工作人员监测-医院基本情况调查表</w:t>
      </w:r>
    </w:p>
    <w:p>
      <w:pPr>
        <w:widowControl/>
        <w:snapToGrid w:val="0"/>
        <w:spacing w:line="520" w:lineRule="exact"/>
        <w:jc w:val="left"/>
        <w:rPr>
          <w:rFonts w:ascii="宋体" w:cs="宋体"/>
          <w:color w:val="auto"/>
        </w:rPr>
        <w:sectPr>
          <w:footerReference r:id="rId3" w:type="default"/>
          <w:footerReference r:id="rId4" w:type="even"/>
          <w:pgSz w:w="11906" w:h="16838"/>
          <w:pgMar w:top="1701" w:right="1418" w:bottom="1418" w:left="1418" w:header="851" w:footer="1531" w:gutter="0"/>
          <w:pgNumType w:fmt="numberInDash"/>
          <w:cols w:space="720" w:num="1"/>
          <w:docGrid w:linePitch="318" w:charSpace="0"/>
        </w:sectPr>
      </w:pPr>
    </w:p>
    <w:p>
      <w:pPr>
        <w:adjustRightInd w:val="0"/>
        <w:snapToGrid w:val="0"/>
        <w:spacing w:line="288" w:lineRule="auto"/>
        <w:jc w:val="left"/>
        <w:rPr>
          <w:rFonts w:ascii="仿宋_GB2312" w:hAnsi="仿宋_GB2312" w:eastAsia="黑体" w:cs="黑体"/>
          <w:color w:val="auto"/>
          <w:sz w:val="32"/>
          <w:szCs w:val="32"/>
        </w:rPr>
      </w:pPr>
      <w:r>
        <w:rPr>
          <w:rFonts w:hint="eastAsia" w:ascii="仿宋_GB2312" w:hAnsi="仿宋_GB2312" w:eastAsia="黑体" w:cs="黑体"/>
          <w:color w:val="auto"/>
          <w:sz w:val="32"/>
          <w:szCs w:val="32"/>
        </w:rPr>
        <w:t>附表</w:t>
      </w:r>
      <w:r>
        <w:rPr>
          <w:rFonts w:hint="eastAsia" w:ascii="仿宋_GB2312" w:hAnsi="仿宋_GB2312" w:eastAsia="黑体" w:cs="黑体"/>
          <w:color w:val="auto"/>
          <w:sz w:val="32"/>
          <w:szCs w:val="32"/>
          <w:lang w:val="en-US" w:eastAsia="zh-CN"/>
        </w:rPr>
        <w:t>1</w:t>
      </w:r>
    </w:p>
    <w:p>
      <w:pPr>
        <w:adjustRightInd w:val="0"/>
        <w:snapToGrid w:val="0"/>
        <w:spacing w:line="288" w:lineRule="auto"/>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2022年北京市</w:t>
      </w:r>
      <w:r>
        <w:rPr>
          <w:rFonts w:hint="eastAsia" w:ascii="方正小标宋简体" w:hAnsi="方正小标宋简体" w:eastAsia="方正小标宋简体" w:cs="方正小标宋简体"/>
          <w:color w:val="auto"/>
          <w:sz w:val="36"/>
          <w:szCs w:val="36"/>
          <w:u w:val="single"/>
          <w:lang w:val="en-US" w:eastAsia="zh-CN"/>
        </w:rPr>
        <w:t>石景山</w:t>
      </w:r>
      <w:r>
        <w:rPr>
          <w:rFonts w:hint="eastAsia" w:ascii="方正小标宋简体" w:hAnsi="方正小标宋简体" w:eastAsia="方正小标宋简体" w:cs="方正小标宋简体"/>
          <w:color w:val="auto"/>
          <w:sz w:val="36"/>
          <w:szCs w:val="36"/>
          <w:u w:val="single"/>
          <w:lang w:eastAsia="zh-CN"/>
        </w:rPr>
        <w:t>区</w:t>
      </w:r>
      <w:r>
        <w:rPr>
          <w:rFonts w:hint="eastAsia" w:ascii="方正小标宋简体" w:hAnsi="方正小标宋简体" w:eastAsia="方正小标宋简体" w:cs="方正小标宋简体"/>
          <w:color w:val="auto"/>
          <w:sz w:val="36"/>
          <w:szCs w:val="36"/>
          <w:lang w:eastAsia="zh-CN"/>
        </w:rPr>
        <w:t>放射诊疗机构基本信息表</w:t>
      </w:r>
    </w:p>
    <w:p>
      <w:pPr>
        <w:adjustRightInd w:val="0"/>
        <w:snapToGrid w:val="0"/>
        <w:spacing w:line="288" w:lineRule="auto"/>
        <w:jc w:val="center"/>
        <w:rPr>
          <w:rFonts w:ascii="仿宋_GB2312" w:hAnsi="仿宋_GB2312" w:eastAsia="黑体" w:cs="黑体"/>
          <w:color w:val="auto"/>
          <w:sz w:val="32"/>
          <w:szCs w:val="32"/>
        </w:rPr>
      </w:pPr>
      <w:r>
        <w:rPr>
          <w:rFonts w:hint="eastAsia" w:ascii="仿宋_GB2312" w:hAnsi="仿宋_GB2312" w:eastAsia="仿宋_GB2312" w:cs="仿宋_GB2312"/>
          <w:color w:val="auto"/>
          <w:sz w:val="32"/>
          <w:szCs w:val="32"/>
        </w:rPr>
        <w:t>(区卫生健康委填写)</w:t>
      </w:r>
    </w:p>
    <w:tbl>
      <w:tblPr>
        <w:tblStyle w:val="13"/>
        <w:tblW w:w="9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0"/>
        <w:gridCol w:w="2273"/>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信息内容</w:t>
            </w:r>
          </w:p>
        </w:tc>
        <w:tc>
          <w:tcPr>
            <w:tcW w:w="2273" w:type="dxa"/>
            <w:vAlign w:val="center"/>
          </w:tcPr>
          <w:p>
            <w:pPr>
              <w:adjustRightInd w:val="0"/>
              <w:snapToGrid w:val="0"/>
              <w:jc w:val="center"/>
              <w:rPr>
                <w:rFonts w:ascii="仿宋_GB2312" w:hAnsi="仿宋_GB2312" w:eastAsia="仿宋_GB2312"/>
                <w:b/>
                <w:bCs/>
                <w:color w:val="auto"/>
                <w:sz w:val="24"/>
                <w:szCs w:val="24"/>
              </w:rPr>
            </w:pPr>
            <w:r>
              <w:rPr>
                <w:rFonts w:hint="eastAsia" w:ascii="仿宋_GB2312" w:hAnsi="仿宋_GB2312" w:eastAsia="仿宋_GB2312" w:cs="仿宋_GB2312"/>
                <w:b/>
                <w:bCs/>
                <w:color w:val="auto"/>
                <w:sz w:val="24"/>
                <w:szCs w:val="24"/>
              </w:rPr>
              <w:t>数据</w:t>
            </w:r>
          </w:p>
        </w:tc>
        <w:tc>
          <w:tcPr>
            <w:tcW w:w="2806" w:type="dxa"/>
            <w:vAlign w:val="center"/>
          </w:tcPr>
          <w:p>
            <w:pPr>
              <w:adjustRightInd w:val="0"/>
              <w:snapToGrid w:val="0"/>
              <w:jc w:val="center"/>
              <w:rPr>
                <w:rFonts w:ascii="仿宋_GB2312" w:hAnsi="仿宋_GB2312" w:eastAsia="仿宋_GB2312"/>
                <w:b/>
                <w:bCs/>
                <w:color w:val="auto"/>
                <w:sz w:val="24"/>
                <w:szCs w:val="24"/>
              </w:rPr>
            </w:pPr>
            <w:r>
              <w:rPr>
                <w:rFonts w:hint="eastAsia" w:ascii="仿宋_GB2312" w:hAnsi="仿宋_GB2312" w:eastAsia="仿宋_GB2312" w:cs="仿宋_GB2312"/>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s="仿宋_GB2312"/>
                <w:color w:val="auto"/>
                <w:sz w:val="24"/>
                <w:szCs w:val="24"/>
              </w:rPr>
              <w:t>放射诊疗机构数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olor w:val="auto"/>
                <w:sz w:val="24"/>
                <w:szCs w:val="24"/>
              </w:rPr>
              <w:t>持《放射诊疗许可证》机构（不含口腔诊所）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s="仿宋_GB2312"/>
                <w:color w:val="auto"/>
                <w:sz w:val="24"/>
                <w:szCs w:val="24"/>
              </w:rPr>
              <w:t>放射工作人员数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olor w:val="auto"/>
                <w:sz w:val="24"/>
                <w:szCs w:val="24"/>
              </w:rPr>
              <w:t>不含口腔诊所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个人剂量监测人数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pStyle w:val="2"/>
              <w:ind w:left="0" w:leftChars="0" w:firstLine="0" w:firstLineChars="0"/>
              <w:rPr>
                <w:rFonts w:hint="eastAsia" w:ascii="仿宋_GB2312" w:hAnsi="仿宋_GB2312" w:eastAsia="仿宋_GB2312"/>
                <w:color w:val="auto"/>
                <w:sz w:val="24"/>
              </w:rPr>
            </w:pPr>
            <w:r>
              <w:rPr>
                <w:rFonts w:hint="eastAsia" w:ascii="仿宋_GB2312" w:hAnsi="仿宋_GB2312" w:eastAsia="仿宋_GB2312"/>
                <w:color w:val="auto"/>
                <w:sz w:val="24"/>
              </w:rPr>
              <w:t>≤放射工作人员数</w:t>
            </w:r>
          </w:p>
          <w:p>
            <w:pPr>
              <w:pStyle w:val="2"/>
              <w:ind w:left="0" w:leftChars="0" w:firstLine="0" w:firstLineChars="0"/>
              <w:rPr>
                <w:rFonts w:hint="eastAsia" w:eastAsia="仿宋_GB2312"/>
                <w:color w:val="auto"/>
                <w:lang w:eastAsia="zh-CN"/>
              </w:rPr>
            </w:pPr>
            <w:r>
              <w:rPr>
                <w:rFonts w:hint="eastAsia" w:ascii="仿宋_GB2312" w:hAnsi="仿宋_GB2312" w:eastAsia="仿宋_GB2312"/>
                <w:color w:val="auto"/>
                <w:sz w:val="24"/>
              </w:rPr>
              <w:t>不包含超周期监测人员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个人剂量监测率</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ascii="仿宋_GB2312" w:hAns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个人剂量监测中，市CDC监测人数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s="仿宋_GB2312"/>
                <w:color w:val="auto"/>
                <w:sz w:val="24"/>
                <w:szCs w:val="24"/>
              </w:rPr>
              <w:t>注意不是监测的人次数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ind w:left="239" w:leftChars="114" w:firstLine="0" w:firstLineChars="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京籍其他机构的监测人数及机构名称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hint="eastAsia" w:ascii="仿宋_GB2312" w:hAnsi="仿宋_GB2312" w:eastAsia="仿宋_GB2312"/>
                <w:color w:val="auto"/>
                <w:sz w:val="24"/>
                <w:szCs w:val="24"/>
                <w:lang w:eastAsia="zh-CN"/>
              </w:rPr>
            </w:pPr>
            <w:r>
              <w:rPr>
                <w:rFonts w:hint="eastAsia" w:ascii="仿宋_GB2312" w:hAnsi="仿宋_GB2312" w:eastAsia="仿宋_GB2312"/>
                <w:color w:val="auto"/>
                <w:sz w:val="24"/>
                <w:szCs w:val="24"/>
                <w:lang w:eastAsia="zh-CN"/>
              </w:rPr>
              <w:t>北京市技术服务机构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ind w:firstLine="240" w:firstLineChars="100"/>
              <w:rPr>
                <w:rFonts w:hint="eastAsia" w:eastAsia="宋体"/>
                <w:color w:val="auto"/>
                <w:sz w:val="24"/>
                <w:szCs w:val="24"/>
                <w:lang w:eastAsia="zh-CN"/>
              </w:rPr>
            </w:pPr>
            <w:r>
              <w:rPr>
                <w:rFonts w:hint="eastAsia" w:ascii="仿宋_GB2312" w:hAnsi="仿宋_GB2312" w:eastAsia="仿宋_GB2312" w:cs="仿宋_GB2312"/>
                <w:color w:val="auto"/>
                <w:sz w:val="24"/>
                <w:szCs w:val="24"/>
                <w:lang w:eastAsia="zh-CN"/>
              </w:rPr>
              <w:t>外地在京机构监测人数及机构名称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hint="eastAsia" w:ascii="仿宋_GB2312" w:hAnsi="仿宋_GB2312" w:eastAsia="仿宋_GB2312"/>
                <w:color w:val="auto"/>
                <w:sz w:val="24"/>
                <w:szCs w:val="24"/>
                <w:lang w:eastAsia="zh-CN"/>
              </w:rPr>
            </w:pPr>
            <w:r>
              <w:rPr>
                <w:rFonts w:hint="eastAsia" w:ascii="仿宋_GB2312" w:hAnsi="仿宋_GB2312" w:eastAsia="仿宋_GB2312"/>
                <w:color w:val="auto"/>
                <w:sz w:val="24"/>
                <w:szCs w:val="24"/>
                <w:lang w:eastAsia="zh-CN"/>
              </w:rPr>
              <w:t>非京籍在京机构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Merge w:val="restart"/>
            <w:vAlign w:val="center"/>
          </w:tcPr>
          <w:p>
            <w:pPr>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放射工作人员职业健康检查人数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ascii="仿宋_GB2312" w:hAnsi="仿宋_GB2312" w:eastAsia="仿宋_GB2312"/>
                <w:color w:val="auto"/>
                <w:sz w:val="24"/>
                <w:szCs w:val="24"/>
                <w:lang w:val="en-US"/>
              </w:rPr>
            </w:pPr>
            <w:r>
              <w:rPr>
                <w:rFonts w:hint="eastAsia" w:ascii="仿宋_GB2312" w:hAnsi="仿宋_GB2312" w:eastAsia="仿宋_GB2312"/>
                <w:color w:val="auto"/>
                <w:sz w:val="24"/>
                <w:szCs w:val="24"/>
              </w:rPr>
              <w:t>2020.7～2021.6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Merge w:val="continue"/>
            <w:vAlign w:val="center"/>
          </w:tcPr>
          <w:p>
            <w:pPr>
              <w:adjustRightInd w:val="0"/>
              <w:snapToGrid w:val="0"/>
              <w:rPr>
                <w:rFonts w:hint="eastAsia" w:ascii="仿宋_GB2312" w:hAnsi="仿宋_GB2312" w:eastAsia="仿宋_GB2312" w:cs="仿宋_GB2312"/>
                <w:color w:val="auto"/>
                <w:sz w:val="24"/>
                <w:szCs w:val="24"/>
              </w:rPr>
            </w:pP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hint="eastAsia" w:ascii="仿宋_GB2312" w:hAnsi="仿宋_GB2312" w:eastAsia="仿宋_GB2312"/>
                <w:color w:val="auto"/>
                <w:sz w:val="24"/>
                <w:szCs w:val="24"/>
              </w:rPr>
            </w:pPr>
            <w:r>
              <w:rPr>
                <w:rFonts w:hint="eastAsia" w:ascii="仿宋_GB2312" w:hAnsi="仿宋_GB2312" w:eastAsia="仿宋_GB2312"/>
                <w:color w:val="auto"/>
                <w:sz w:val="24"/>
                <w:szCs w:val="24"/>
              </w:rPr>
              <w:t>2021.7～2022.6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Align w:val="center"/>
          </w:tcPr>
          <w:p>
            <w:pPr>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放射工作人员职业健康检查中，北京市预防医学研究中心职业病门诊部检查人数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olor w:val="auto"/>
                <w:sz w:val="24"/>
                <w:szCs w:val="24"/>
              </w:rPr>
              <w:t>2021.7～2022.6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Merge w:val="restart"/>
            <w:vAlign w:val="center"/>
          </w:tcPr>
          <w:p>
            <w:pPr>
              <w:adjustRightInd w:val="0"/>
              <w:snapToGrid w:val="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放射工作人员职业健康检查中，其他机构的职业健康检查人数及机构名称</w:t>
            </w:r>
          </w:p>
        </w:tc>
        <w:tc>
          <w:tcPr>
            <w:tcW w:w="2273" w:type="dxa"/>
            <w:vAlign w:val="center"/>
          </w:tcPr>
          <w:p>
            <w:pPr>
              <w:adjustRightInd w:val="0"/>
              <w:snapToGrid w:val="0"/>
              <w:rPr>
                <w:rFonts w:ascii="仿宋_GB2312" w:hAnsi="仿宋_GB2312" w:eastAsia="仿宋_GB2312"/>
                <w:color w:val="auto"/>
                <w:sz w:val="24"/>
                <w:szCs w:val="24"/>
              </w:rPr>
            </w:pPr>
          </w:p>
        </w:tc>
        <w:tc>
          <w:tcPr>
            <w:tcW w:w="2806" w:type="dxa"/>
            <w:vMerge w:val="restart"/>
            <w:vAlign w:val="center"/>
          </w:tcPr>
          <w:p>
            <w:pPr>
              <w:adjustRightInd w:val="0"/>
              <w:snapToGrid w:val="0"/>
              <w:rPr>
                <w:rFonts w:ascii="仿宋_GB2312" w:hAnsi="仿宋_GB2312" w:eastAsia="仿宋_GB2312"/>
                <w:color w:val="auto"/>
                <w:sz w:val="24"/>
                <w:szCs w:val="24"/>
              </w:rPr>
            </w:pPr>
            <w:r>
              <w:rPr>
                <w:rFonts w:hint="eastAsia" w:ascii="仿宋_GB2312" w:hAnsi="仿宋_GB2312" w:eastAsia="仿宋_GB2312"/>
                <w:color w:val="auto"/>
                <w:sz w:val="24"/>
                <w:szCs w:val="24"/>
              </w:rPr>
              <w:t>2021.7～2022.6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Merge w:val="continue"/>
            <w:vAlign w:val="center"/>
          </w:tcPr>
          <w:p>
            <w:pPr>
              <w:adjustRightInd w:val="0"/>
              <w:snapToGrid w:val="0"/>
              <w:rPr>
                <w:rFonts w:ascii="仿宋_GB2312" w:hAnsi="仿宋_GB2312" w:eastAsia="仿宋_GB2312" w:cs="仿宋_GB2312"/>
                <w:color w:val="auto"/>
                <w:sz w:val="24"/>
                <w:szCs w:val="24"/>
              </w:rPr>
            </w:pPr>
          </w:p>
        </w:tc>
        <w:tc>
          <w:tcPr>
            <w:tcW w:w="2273" w:type="dxa"/>
            <w:vAlign w:val="center"/>
          </w:tcPr>
          <w:p>
            <w:pPr>
              <w:adjustRightInd w:val="0"/>
              <w:snapToGrid w:val="0"/>
              <w:rPr>
                <w:rFonts w:ascii="仿宋_GB2312" w:hAnsi="仿宋_GB2312" w:eastAsia="仿宋_GB2312"/>
                <w:color w:val="auto"/>
                <w:sz w:val="24"/>
                <w:szCs w:val="24"/>
              </w:rPr>
            </w:pPr>
          </w:p>
        </w:tc>
        <w:tc>
          <w:tcPr>
            <w:tcW w:w="2806" w:type="dxa"/>
            <w:vMerge w:val="continue"/>
            <w:vAlign w:val="center"/>
          </w:tcPr>
          <w:p>
            <w:pPr>
              <w:adjustRightInd w:val="0"/>
              <w:snapToGrid w:val="0"/>
              <w:rPr>
                <w:rFonts w:ascii="仿宋_GB2312" w:hAns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Merge w:val="continue"/>
            <w:vAlign w:val="center"/>
          </w:tcPr>
          <w:p>
            <w:pPr>
              <w:adjustRightInd w:val="0"/>
              <w:snapToGrid w:val="0"/>
              <w:rPr>
                <w:rFonts w:ascii="仿宋_GB2312" w:hAnsi="仿宋_GB2312" w:eastAsia="仿宋_GB2312" w:cs="仿宋_GB2312"/>
                <w:color w:val="auto"/>
                <w:sz w:val="24"/>
                <w:szCs w:val="24"/>
              </w:rPr>
            </w:pPr>
          </w:p>
        </w:tc>
        <w:tc>
          <w:tcPr>
            <w:tcW w:w="2273" w:type="dxa"/>
            <w:vAlign w:val="center"/>
          </w:tcPr>
          <w:p>
            <w:pPr>
              <w:adjustRightInd w:val="0"/>
              <w:snapToGrid w:val="0"/>
              <w:rPr>
                <w:rFonts w:ascii="仿宋_GB2312" w:hAnsi="仿宋_GB2312" w:eastAsia="仿宋_GB2312"/>
                <w:color w:val="auto"/>
                <w:sz w:val="24"/>
                <w:szCs w:val="24"/>
              </w:rPr>
            </w:pPr>
          </w:p>
        </w:tc>
        <w:tc>
          <w:tcPr>
            <w:tcW w:w="2806" w:type="dxa"/>
            <w:vMerge w:val="continue"/>
            <w:vAlign w:val="center"/>
          </w:tcPr>
          <w:p>
            <w:pPr>
              <w:adjustRightInd w:val="0"/>
              <w:snapToGrid w:val="0"/>
              <w:rPr>
                <w:rFonts w:ascii="仿宋_GB2312" w:hAns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090" w:type="dxa"/>
            <w:vMerge w:val="continue"/>
            <w:tcBorders>
              <w:bottom w:val="single" w:color="auto" w:sz="4" w:space="0"/>
            </w:tcBorders>
            <w:vAlign w:val="center"/>
          </w:tcPr>
          <w:p>
            <w:pPr>
              <w:adjustRightInd w:val="0"/>
              <w:snapToGrid w:val="0"/>
              <w:rPr>
                <w:rFonts w:ascii="仿宋_GB2312" w:hAnsi="仿宋_GB2312" w:eastAsia="仿宋_GB2312" w:cs="仿宋_GB2312"/>
                <w:color w:val="auto"/>
                <w:sz w:val="24"/>
                <w:szCs w:val="24"/>
              </w:rPr>
            </w:pPr>
          </w:p>
        </w:tc>
        <w:tc>
          <w:tcPr>
            <w:tcW w:w="2273" w:type="dxa"/>
            <w:tcBorders>
              <w:bottom w:val="single" w:color="auto" w:sz="4" w:space="0"/>
            </w:tcBorders>
            <w:vAlign w:val="center"/>
          </w:tcPr>
          <w:p>
            <w:pPr>
              <w:adjustRightInd w:val="0"/>
              <w:snapToGrid w:val="0"/>
              <w:rPr>
                <w:rFonts w:ascii="仿宋_GB2312" w:hAnsi="仿宋_GB2312" w:eastAsia="仿宋_GB2312"/>
                <w:color w:val="auto"/>
                <w:sz w:val="24"/>
                <w:szCs w:val="24"/>
              </w:rPr>
            </w:pPr>
          </w:p>
        </w:tc>
        <w:tc>
          <w:tcPr>
            <w:tcW w:w="2806" w:type="dxa"/>
            <w:vMerge w:val="continue"/>
            <w:tcBorders>
              <w:bottom w:val="single" w:color="auto" w:sz="4" w:space="0"/>
            </w:tcBorders>
            <w:vAlign w:val="center"/>
          </w:tcPr>
          <w:p>
            <w:pPr>
              <w:adjustRightInd w:val="0"/>
              <w:snapToGrid w:val="0"/>
              <w:rPr>
                <w:rFonts w:ascii="仿宋_GB2312" w:hAnsi="仿宋_GB2312" w:eastAsia="仿宋_GB2312"/>
                <w:color w:val="auto"/>
                <w:sz w:val="24"/>
                <w:szCs w:val="24"/>
              </w:rPr>
            </w:pPr>
          </w:p>
        </w:tc>
      </w:tr>
    </w:tbl>
    <w:p>
      <w:pPr>
        <w:adjustRightInd w:val="0"/>
        <w:snapToGrid w:val="0"/>
        <w:rPr>
          <w:rFonts w:ascii="仿宋_GB2312" w:hAnsi="仿宋_GB2312" w:eastAsia="仿宋_GB2312"/>
          <w:color w:val="auto"/>
          <w:sz w:val="24"/>
          <w:szCs w:val="24"/>
        </w:rPr>
      </w:pPr>
      <w:r>
        <w:rPr>
          <w:rFonts w:hint="eastAsia" w:ascii="仿宋_GB2312" w:hAnsi="仿宋_GB2312" w:eastAsia="仿宋_GB2312" w:cs="仿宋_GB2312"/>
          <w:color w:val="auto"/>
          <w:sz w:val="24"/>
          <w:szCs w:val="24"/>
        </w:rPr>
        <w:t>注：个人剂量监测人数和职业健康检查人数应分别≤放射工作人员数，调查表统计的数据为本年度中6月30日的数据。其中，体检数据为上述放射工作人员在规定年度内有效职业健康检查的人数。</w:t>
      </w:r>
    </w:p>
    <w:p>
      <w:pPr>
        <w:adjustRightInd w:val="0"/>
        <w:snapToGrid w:val="0"/>
        <w:rPr>
          <w:rFonts w:ascii="仿宋_GB2312" w:hAnsi="仿宋_GB2312" w:eastAsia="仿宋_GB2312"/>
          <w:color w:val="auto"/>
          <w:sz w:val="24"/>
          <w:szCs w:val="24"/>
        </w:rPr>
      </w:pPr>
      <w:r>
        <w:rPr>
          <w:rFonts w:hint="eastAsia" w:ascii="仿宋_GB2312" w:hAnsi="仿宋_GB2312" w:eastAsia="仿宋_GB2312"/>
          <w:color w:val="auto"/>
          <w:sz w:val="24"/>
          <w:szCs w:val="24"/>
        </w:rPr>
        <w:t xml:space="preserve">                                             填表单位：</w:t>
      </w:r>
    </w:p>
    <w:p>
      <w:pPr>
        <w:adjustRightInd w:val="0"/>
        <w:snapToGrid w:val="0"/>
        <w:rPr>
          <w:rFonts w:ascii="仿宋_GB2312" w:hAnsi="仿宋_GB2312" w:eastAsia="黑体"/>
          <w:color w:val="auto"/>
          <w:szCs w:val="21"/>
        </w:rPr>
      </w:pPr>
      <w:r>
        <w:rPr>
          <w:rFonts w:hint="eastAsia" w:ascii="仿宋_GB2312" w:hAnsi="仿宋_GB2312" w:eastAsia="仿宋_GB2312"/>
          <w:color w:val="auto"/>
          <w:sz w:val="24"/>
          <w:szCs w:val="24"/>
        </w:rPr>
        <w:t xml:space="preserve">                                                 日期：</w:t>
      </w:r>
      <w:r>
        <w:rPr>
          <w:rFonts w:hint="eastAsia" w:ascii="仿宋_GB2312" w:hAnsi="仿宋_GB2312" w:eastAsia="仿宋_GB2312"/>
          <w:color w:val="auto"/>
        </w:rPr>
        <w:br w:type="page"/>
      </w:r>
      <w:r>
        <w:rPr>
          <w:rFonts w:hint="eastAsia" w:ascii="仿宋_GB2312" w:hAnsi="仿宋_GB2312" w:eastAsia="黑体" w:cs="黑体"/>
          <w:bCs/>
          <w:color w:val="auto"/>
          <w:sz w:val="32"/>
          <w:szCs w:val="32"/>
        </w:rPr>
        <w:t>附表</w:t>
      </w:r>
      <w:r>
        <w:rPr>
          <w:rFonts w:hint="eastAsia" w:ascii="仿宋_GB2312" w:hAnsi="仿宋_GB2312" w:eastAsia="黑体" w:cs="黑体"/>
          <w:bCs/>
          <w:color w:val="auto"/>
          <w:sz w:val="32"/>
          <w:szCs w:val="32"/>
          <w:lang w:val="en-US" w:eastAsia="zh-CN"/>
        </w:rPr>
        <w:t>2</w:t>
      </w:r>
    </w:p>
    <w:p>
      <w:pPr>
        <w:snapToGrid w:val="0"/>
        <w:jc w:val="center"/>
        <w:rPr>
          <w:rFonts w:ascii="仿宋_GB2312" w:hAnsi="仿宋_GB2312" w:eastAsia="方正小标宋简体" w:cs="方正小标宋简体"/>
          <w:color w:val="auto"/>
          <w:sz w:val="32"/>
          <w:szCs w:val="32"/>
        </w:rPr>
      </w:pPr>
      <w:r>
        <w:rPr>
          <w:rFonts w:hint="eastAsia" w:ascii="仿宋_GB2312" w:hAnsi="仿宋_GB2312" w:eastAsia="方正小标宋简体" w:cs="方正小标宋简体"/>
          <w:color w:val="auto"/>
          <w:sz w:val="32"/>
          <w:szCs w:val="32"/>
          <w:lang w:eastAsia="zh-CN"/>
        </w:rPr>
        <w:t>2022年北京市监测医院放射工作人员职业健康管理报告表</w:t>
      </w:r>
    </w:p>
    <w:p>
      <w:pPr>
        <w:snapToGrid w:val="0"/>
        <w:jc w:val="center"/>
        <w:rPr>
          <w:rFonts w:ascii="仿宋_GB2312" w:hAnsi="仿宋_GB2312" w:eastAsia="仿宋_GB2312" w:cs="仿宋_GB2312"/>
          <w:color w:val="auto"/>
          <w:szCs w:val="21"/>
        </w:rPr>
      </w:pPr>
      <w:r>
        <w:rPr>
          <w:rFonts w:hint="eastAsia" w:ascii="仿宋_GB2312" w:hAnsi="仿宋_GB2312" w:cs="仿宋_GB2312"/>
          <w:bCs/>
          <w:color w:val="auto"/>
          <w:szCs w:val="21"/>
        </w:rPr>
        <w:t>（</w:t>
      </w:r>
      <w:r>
        <w:rPr>
          <w:rFonts w:hint="eastAsia" w:ascii="仿宋_GB2312" w:hAnsi="仿宋_GB2312" w:cs="仿宋_GB2312"/>
          <w:bCs/>
          <w:color w:val="auto"/>
          <w:szCs w:val="21"/>
          <w:lang w:eastAsia="zh-CN"/>
        </w:rPr>
        <w:t>放射诊疗</w:t>
      </w:r>
      <w:r>
        <w:rPr>
          <w:rFonts w:hint="eastAsia" w:ascii="仿宋_GB2312" w:hAnsi="仿宋_GB2312" w:cs="仿宋_GB2312"/>
          <w:bCs/>
          <w:color w:val="auto"/>
          <w:szCs w:val="21"/>
        </w:rPr>
        <w:t>机构填写）</w:t>
      </w:r>
    </w:p>
    <w:p>
      <w:pPr>
        <w:spacing w:line="360" w:lineRule="exact"/>
        <w:rPr>
          <w:rFonts w:ascii="仿宋_GB2312" w:hAnsi="仿宋_GB2312" w:eastAsia="仿宋_GB2312" w:cs="仿宋_GB2312"/>
          <w:color w:val="auto"/>
          <w:szCs w:val="21"/>
        </w:rPr>
      </w:pPr>
    </w:p>
    <w:p>
      <w:pPr>
        <w:spacing w:line="360" w:lineRule="exact"/>
        <w:rPr>
          <w:rFonts w:ascii="仿宋_GB2312" w:hAnsi="仿宋_GB2312" w:eastAsia="仿宋_GB2312" w:cs="仿宋_GB2312"/>
          <w:color w:val="auto"/>
          <w:szCs w:val="18"/>
        </w:rPr>
      </w:pPr>
      <w:r>
        <w:rPr>
          <w:rFonts w:hint="eastAsia" w:ascii="仿宋_GB2312" w:hAnsi="仿宋_GB2312" w:eastAsia="仿宋_GB2312" w:cs="仿宋_GB2312"/>
          <w:color w:val="auto"/>
          <w:szCs w:val="21"/>
        </w:rPr>
        <w:t>医疗机构名称：</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  医疗机构等级</w:t>
      </w:r>
      <w:r>
        <w:rPr>
          <w:rFonts w:hint="eastAsia" w:ascii="仿宋_GB2312" w:hAnsi="仿宋_GB2312" w:eastAsia="仿宋_GB2312" w:cs="仿宋_GB2312"/>
          <w:color w:val="auto"/>
          <w:szCs w:val="18"/>
        </w:rPr>
        <w:t>：</w:t>
      </w:r>
      <w:r>
        <w:rPr>
          <w:rFonts w:hint="eastAsia" w:ascii="仿宋_GB2312" w:hAnsi="仿宋_GB2312" w:eastAsia="仿宋_GB2312" w:cs="仿宋_GB2312"/>
          <w:color w:val="auto"/>
          <w:szCs w:val="18"/>
          <w:u w:val="single"/>
        </w:rPr>
        <w:t>□</w:t>
      </w:r>
      <w:r>
        <w:rPr>
          <w:rFonts w:hint="eastAsia" w:ascii="仿宋_GB2312" w:hAnsi="仿宋_GB2312" w:eastAsia="仿宋_GB2312" w:cs="仿宋_GB2312"/>
          <w:color w:val="auto"/>
          <w:szCs w:val="18"/>
        </w:rPr>
        <w:t>级</w:t>
      </w:r>
      <w:r>
        <w:rPr>
          <w:rFonts w:hint="eastAsia" w:ascii="仿宋_GB2312" w:hAnsi="仿宋_GB2312" w:eastAsia="仿宋_GB2312" w:cs="仿宋_GB2312"/>
          <w:color w:val="auto"/>
          <w:szCs w:val="18"/>
          <w:u w:val="single"/>
        </w:rPr>
        <w:t>□</w:t>
      </w:r>
      <w:r>
        <w:rPr>
          <w:rFonts w:hint="eastAsia" w:ascii="仿宋_GB2312" w:hAnsi="仿宋_GB2312" w:eastAsia="仿宋_GB2312" w:cs="仿宋_GB2312"/>
          <w:color w:val="auto"/>
          <w:szCs w:val="18"/>
        </w:rPr>
        <w:t>等；</w:t>
      </w:r>
      <w:r>
        <w:rPr>
          <w:rFonts w:hint="eastAsia" w:ascii="仿宋_GB2312" w:hAnsi="仿宋_GB2312" w:eastAsia="仿宋_GB2312" w:cs="仿宋_GB2312"/>
          <w:color w:val="auto"/>
          <w:szCs w:val="18"/>
          <w:u w:val="single"/>
        </w:rPr>
        <w:t>□</w:t>
      </w:r>
      <w:r>
        <w:rPr>
          <w:rFonts w:hint="eastAsia" w:ascii="仿宋_GB2312" w:hAnsi="仿宋_GB2312" w:eastAsia="仿宋_GB2312" w:cs="仿宋_GB2312"/>
          <w:color w:val="auto"/>
          <w:szCs w:val="18"/>
        </w:rPr>
        <w:t>未定级</w:t>
      </w:r>
    </w:p>
    <w:p>
      <w:pPr>
        <w:spacing w:line="360" w:lineRule="exact"/>
        <w:rPr>
          <w:rFonts w:hint="eastAsia" w:ascii="仿宋_GB2312" w:hAnsi="仿宋_GB2312" w:eastAsia="仿宋_GB2312" w:cs="仿宋_GB2312"/>
          <w:color w:val="auto"/>
          <w:szCs w:val="18"/>
          <w:u w:val="none"/>
          <w:lang w:val="en-US" w:eastAsia="zh-CN"/>
        </w:rPr>
      </w:pPr>
      <w:r>
        <w:rPr>
          <w:rFonts w:hint="eastAsia" w:ascii="仿宋_GB2312" w:hAnsi="仿宋_GB2312" w:eastAsia="仿宋_GB2312" w:cs="仿宋_GB2312"/>
          <w:color w:val="auto"/>
          <w:szCs w:val="18"/>
        </w:rPr>
        <w:t>放射诊疗许可证号：</w:t>
      </w:r>
      <w:r>
        <w:rPr>
          <w:rFonts w:hint="eastAsia" w:ascii="仿宋_GB2312" w:hAnsi="仿宋_GB2312" w:eastAsia="仿宋_GB2312" w:cs="仿宋_GB2312"/>
          <w:color w:val="auto"/>
          <w:szCs w:val="18"/>
          <w:u w:val="single"/>
        </w:rPr>
        <w:t xml:space="preserve">                      </w:t>
      </w:r>
      <w:r>
        <w:rPr>
          <w:rFonts w:hint="eastAsia" w:ascii="仿宋_GB2312" w:hAnsi="仿宋_GB2312" w:eastAsia="仿宋_GB2312" w:cs="仿宋_GB2312"/>
          <w:color w:val="auto"/>
          <w:szCs w:val="18"/>
          <w:u w:val="none"/>
          <w:lang w:eastAsia="zh-CN"/>
        </w:rPr>
        <w:t>，</w:t>
      </w:r>
      <w:r>
        <w:rPr>
          <w:rFonts w:hint="eastAsia" w:ascii="仿宋_GB2312" w:hAnsi="仿宋_GB2312" w:eastAsia="仿宋_GB2312" w:cs="仿宋_GB2312"/>
          <w:color w:val="auto"/>
          <w:szCs w:val="18"/>
          <w:u w:val="none"/>
          <w:lang w:val="en-US" w:eastAsia="zh-CN"/>
        </w:rPr>
        <w:t xml:space="preserve">  </w:t>
      </w:r>
      <w:r>
        <w:rPr>
          <w:rFonts w:hint="eastAsia" w:ascii="仿宋_GB2312" w:hAnsi="仿宋_GB2312" w:eastAsia="仿宋_GB2312" w:cs="仿宋_GB2312"/>
          <w:color w:val="auto"/>
          <w:szCs w:val="18"/>
          <w:u w:val="none"/>
          <w:lang w:eastAsia="zh-CN"/>
        </w:rPr>
        <w:t>邮编：</w:t>
      </w:r>
      <w:r>
        <w:rPr>
          <w:rFonts w:hint="eastAsia" w:ascii="仿宋_GB2312" w:hAnsi="仿宋_GB2312" w:eastAsia="仿宋_GB2312" w:cs="仿宋_GB2312"/>
          <w:color w:val="auto"/>
          <w:szCs w:val="18"/>
          <w:u w:val="single"/>
          <w:lang w:val="en-US" w:eastAsia="zh-CN"/>
        </w:rPr>
        <w:t xml:space="preserve">                           </w:t>
      </w:r>
      <w:r>
        <w:rPr>
          <w:rFonts w:hint="eastAsia" w:ascii="仿宋_GB2312" w:hAnsi="仿宋_GB2312" w:eastAsia="仿宋_GB2312" w:cs="仿宋_GB2312"/>
          <w:color w:val="auto"/>
          <w:szCs w:val="18"/>
          <w:u w:val="none"/>
          <w:lang w:val="en-US" w:eastAsia="zh-CN"/>
        </w:rPr>
        <w:t xml:space="preserve">   </w:t>
      </w:r>
    </w:p>
    <w:p>
      <w:pPr>
        <w:spacing w:line="360" w:lineRule="exact"/>
        <w:rPr>
          <w:rFonts w:ascii="仿宋_GB2312" w:hAnsi="仿宋_GB2312" w:eastAsia="仿宋_GB2312" w:cs="仿宋_GB2312"/>
          <w:color w:val="auto"/>
          <w:szCs w:val="18"/>
          <w:u w:val="single"/>
        </w:rPr>
      </w:pPr>
      <w:r>
        <w:rPr>
          <w:rFonts w:hint="eastAsia" w:ascii="仿宋_GB2312" w:hAnsi="仿宋_GB2312" w:eastAsia="仿宋_GB2312" w:cs="仿宋_GB2312"/>
          <w:color w:val="auto"/>
          <w:szCs w:val="18"/>
        </w:rPr>
        <w:t>医疗机构执业许可证发证机关级别：</w:t>
      </w:r>
      <w:r>
        <w:rPr>
          <w:rFonts w:hint="eastAsia" w:ascii="仿宋_GB2312" w:hAnsi="仿宋_GB2312" w:eastAsia="仿宋_GB2312" w:cs="仿宋_GB2312"/>
          <w:color w:val="auto"/>
          <w:szCs w:val="18"/>
          <w:u w:val="single"/>
        </w:rPr>
        <w:t>□</w:t>
      </w:r>
      <w:r>
        <w:rPr>
          <w:rFonts w:hint="eastAsia" w:ascii="仿宋_GB2312" w:hAnsi="仿宋_GB2312" w:eastAsia="仿宋_GB2312" w:cs="仿宋_GB2312"/>
          <w:color w:val="auto"/>
          <w:szCs w:val="18"/>
        </w:rPr>
        <w:t>省</w:t>
      </w:r>
      <w:r>
        <w:rPr>
          <w:rFonts w:ascii="仿宋_GB2312" w:hAnsi="仿宋_GB2312" w:eastAsia="仿宋_GB2312" w:cs="仿宋_GB2312"/>
          <w:color w:val="auto"/>
          <w:szCs w:val="18"/>
        </w:rPr>
        <w:t>/</w:t>
      </w:r>
      <w:r>
        <w:rPr>
          <w:rFonts w:hint="eastAsia" w:ascii="仿宋_GB2312" w:hAnsi="仿宋_GB2312" w:eastAsia="仿宋_GB2312" w:cs="仿宋_GB2312"/>
          <w:color w:val="auto"/>
          <w:szCs w:val="18"/>
          <w:u w:val="single"/>
        </w:rPr>
        <w:t>□</w:t>
      </w:r>
      <w:r>
        <w:rPr>
          <w:rFonts w:ascii="仿宋_GB2312" w:hAnsi="仿宋_GB2312" w:eastAsia="仿宋_GB2312" w:cs="仿宋_GB2312"/>
          <w:color w:val="auto"/>
          <w:szCs w:val="18"/>
        </w:rPr>
        <w:t>市/</w:t>
      </w:r>
      <w:r>
        <w:rPr>
          <w:rFonts w:hint="eastAsia" w:ascii="仿宋_GB2312" w:hAnsi="仿宋_GB2312" w:eastAsia="仿宋_GB2312" w:cs="仿宋_GB2312"/>
          <w:color w:val="auto"/>
          <w:szCs w:val="18"/>
          <w:u w:val="single"/>
        </w:rPr>
        <w:t>□</w:t>
      </w:r>
      <w:r>
        <w:rPr>
          <w:rFonts w:ascii="仿宋_GB2312" w:hAnsi="仿宋_GB2312" w:eastAsia="仿宋_GB2312" w:cs="仿宋_GB2312"/>
          <w:color w:val="auto"/>
          <w:szCs w:val="18"/>
        </w:rPr>
        <w:t>县</w:t>
      </w:r>
    </w:p>
    <w:p>
      <w:pPr>
        <w:spacing w:line="360" w:lineRule="exact"/>
        <w:rPr>
          <w:rFonts w:ascii="仿宋_GB2312" w:hAnsi="仿宋_GB2312" w:eastAsia="仿宋_GB2312" w:cs="仿宋_GB2312"/>
          <w:color w:val="auto"/>
          <w:szCs w:val="18"/>
          <w:u w:val="single"/>
        </w:rPr>
      </w:pPr>
      <w:r>
        <w:rPr>
          <w:rFonts w:hint="eastAsia" w:ascii="仿宋_GB2312" w:hAnsi="仿宋_GB2312" w:eastAsia="仿宋_GB2312" w:cs="仿宋_GB2312"/>
          <w:color w:val="auto"/>
          <w:szCs w:val="18"/>
        </w:rPr>
        <w:t>单位组织机构代码（或社会信用代码）：</w:t>
      </w:r>
      <w:r>
        <w:rPr>
          <w:rFonts w:hint="eastAsia" w:ascii="仿宋_GB2312" w:hAnsi="仿宋_GB2312" w:eastAsia="仿宋_GB2312" w:cs="仿宋_GB2312"/>
          <w:color w:val="auto"/>
          <w:szCs w:val="21"/>
          <w:u w:val="single"/>
        </w:rPr>
        <w:t xml:space="preserve">                        </w:t>
      </w:r>
    </w:p>
    <w:p>
      <w:pPr>
        <w:spacing w:line="360" w:lineRule="exact"/>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地址：</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北京市</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区</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号</w:t>
      </w:r>
    </w:p>
    <w:p>
      <w:pPr>
        <w:adjustRightInd w:val="0"/>
        <w:spacing w:line="360" w:lineRule="exact"/>
        <w:ind w:left="360"/>
        <w:rPr>
          <w:rFonts w:ascii="仿宋_GB2312" w:hAnsi="仿宋_GB2312" w:eastAsia="仿宋_GB2312"/>
          <w:color w:val="auto"/>
          <w:szCs w:val="21"/>
          <w:u w:val="single"/>
        </w:rPr>
      </w:pPr>
      <w:r>
        <w:rPr>
          <w:rFonts w:ascii="仿宋_GB2312" w:hAnsi="仿宋_GB2312" w:eastAsia="宋体" w:cs="Times New Roman"/>
          <w:color w:val="auto"/>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943600" cy="13335"/>
                <wp:effectExtent l="0" t="4445" r="0" b="10795"/>
                <wp:wrapNone/>
                <wp:docPr id="1" name="直接连接符 1"/>
                <wp:cNvGraphicFramePr/>
                <a:graphic xmlns:a="http://schemas.openxmlformats.org/drawingml/2006/main">
                  <a:graphicData uri="http://schemas.microsoft.com/office/word/2010/wordprocessingShape">
                    <wps:wsp>
                      <wps:cNvCnPr/>
                      <wps:spPr>
                        <a:xfrm flipV="1">
                          <a:off x="0" y="0"/>
                          <a:ext cx="5943600" cy="13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4pt;height:1.05pt;width:468pt;z-index:251659264;mso-width-relative:page;mso-height-relative:page;" filled="f" stroked="t" coordsize="21600,21600" o:gfxdata="UEsDBAoAAAAAAIdO4kAAAAAAAAAAAAAAAAAEAAAAZHJzL1BLAwQUAAAACACHTuJAvTklztIAAAAE&#10;AQAADwAAAGRycy9kb3ducmV2LnhtbE2PQUvEMBSE74L/ITzBm5vsrhRb+7qIqBdBcK2e0+bZFpuX&#10;0mS767/3edLjMMPMN+Xu5Ee10ByHwAjrlQFF3AY3cIdQvz1e3YCKybKzY2BC+KYIu+r8rLSFC0d+&#10;pWWfOiUlHAuL0Kc0FVrHtidv4ypMxOJ9htnbJHLutJvtUcr9qDfGZNrbgWWhtxPd99R+7Q8e4e7j&#10;+WH7sjQ+jC7v6nfna/O0Qby8WJtbUIlO6S8Mv/iCDpUwNeHALqoRQY4khGvBFzPfZqIbhCwHXZX6&#10;P3z1A1BLAwQUAAAACACHTuJAmcTCWOQBAACkAwAADgAAAGRycy9lMm9Eb2MueG1srVNLjhMxEN0j&#10;zR0s70l3EjJiWunMYjLDBkEkPvuKP92W/JPtSSeX4AJI7GDFkj23YTgGZXcIzLBBiF6UylXPr6te&#10;lZeXe6PJToSonG3pdFJTIixzXNmupW9e3zx+SklMYDloZ0VLDyLSy9XZo+XgGzFzvdNcBIIkNjaD&#10;b2mfkm+qKrJeGIgT54XFpHTBQMJj6CoeYEB2o6tZXZ9XgwvcB8dEjBhdj0m6KvxSCpZeShlFIrql&#10;WFsqNhS7zbZaLaHpAvhesWMZ8A9VGFAWf3qiWkMCchvUH1RGseCik2nCnKmclIqJ0gN2M60fdPOq&#10;By9KLyhO9CeZ4v+jZS92m0AUx9lRYsHgiO7ef/n27uP3rx/Q3n3+RKZZpMHHBrFXdhOOp+g3IXe8&#10;l8EQqZV/mzlyBLsi+yLx4SSx2CfCMLi4eDI/r3ESDHPT+Xy+yOzVSJMv+xDTM+EMyU5LtbJZAWhg&#10;9zymEfoTksPakqGlF4vZAikBF0hqSOgajy1F25W70WnFb5TW+UYM3fZKB7KDvBLlO5ZwD5Z/sobY&#10;j7iSyjBoegH82nKSDh7FsrjVNJdgBKdEC3wE2SvIBEr/DRK71xZFyBqPqmZv6/gBR3Prg+p6VKKM&#10;oWBwFYpkx7XNu/b7uTD9ely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05Jc7SAAAABAEAAA8A&#10;AAAAAAAAAQAgAAAAIgAAAGRycy9kb3ducmV2LnhtbFBLAQIUABQAAAAIAIdO4kCZxMJY5AEAAKQD&#10;AAAOAAAAAAAAAAEAIAAAACEBAABkcnMvZTJvRG9jLnhtbFBLBQYAAAAABgAGAFkBAAB3BQAAAAA=&#10;">
                <v:fill on="f" focussize="0,0"/>
                <v:stroke color="#000000" joinstyle="round"/>
                <v:imagedata o:title=""/>
                <o:lock v:ext="edit" aspectratio="f"/>
              </v:line>
            </w:pict>
          </mc:Fallback>
        </mc:AlternateContent>
      </w:r>
    </w:p>
    <w:p>
      <w:pPr>
        <w:spacing w:line="360" w:lineRule="exact"/>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一、放射防护配套设备和工作人员数量</w:t>
      </w:r>
    </w:p>
    <w:p>
      <w:pPr>
        <w:spacing w:line="360" w:lineRule="exact"/>
        <w:rPr>
          <w:rFonts w:ascii="仿宋_GB2312" w:hAnsi="仿宋_GB2312" w:eastAsia="仿宋_GB2312"/>
          <w:color w:val="auto"/>
          <w:szCs w:val="21"/>
        </w:rPr>
      </w:pP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X</w:t>
      </w:r>
      <w:r>
        <w:rPr>
          <w:rFonts w:hint="eastAsia" w:ascii="仿宋_GB2312" w:hAnsi="仿宋_GB2312" w:eastAsia="仿宋_GB2312" w:cs="仿宋_GB2312"/>
          <w:color w:val="auto"/>
          <w:szCs w:val="21"/>
        </w:rPr>
        <w:t>射线影像诊断</w:t>
      </w:r>
    </w:p>
    <w:p>
      <w:pPr>
        <w:adjustRightInd w:val="0"/>
        <w:snapToGrid w:val="0"/>
        <w:spacing w:line="360" w:lineRule="exact"/>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 xml:space="preserve">  放射工作人员人数</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男性</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，女性</w:t>
      </w:r>
      <w:r>
        <w:rPr>
          <w:rFonts w:hint="eastAsia" w:ascii="仿宋_GB2312" w:hAnsi="仿宋_GB2312" w:eastAsia="仿宋_GB2312" w:cs="仿宋_GB2312"/>
          <w:color w:val="auto"/>
          <w:szCs w:val="21"/>
          <w:u w:val="single"/>
        </w:rPr>
        <w:t>□□□人</w:t>
      </w:r>
    </w:p>
    <w:p>
      <w:pPr>
        <w:adjustRightInd w:val="0"/>
        <w:snapToGrid w:val="0"/>
        <w:spacing w:line="36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工作人员个人防护用品和辅助防护设施配置</w:t>
      </w:r>
      <w:r>
        <w:rPr>
          <w:rFonts w:hint="eastAsia" w:ascii="仿宋_GB2312" w:hAnsi="仿宋_GB2312" w:eastAsia="仿宋_GB2312" w:cs="仿宋_GB2312"/>
          <w:color w:val="auto"/>
          <w:szCs w:val="21"/>
          <w:lang w:eastAsia="zh-CN"/>
        </w:rPr>
        <w:t>（不包括为患者准备的）</w:t>
      </w:r>
      <w:r>
        <w:rPr>
          <w:rFonts w:hint="eastAsia" w:ascii="仿宋_GB2312" w:hAnsi="仿宋_GB2312" w:eastAsia="仿宋_GB2312" w:cs="仿宋_GB2312"/>
          <w:color w:val="auto"/>
          <w:szCs w:val="21"/>
        </w:rPr>
        <w:t>：</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铅橡胶围裙（  ）件，铅橡胶帽子（  ）件，铅橡胶颈套（   ）件</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铅橡胶手套（  ）付，铅防护眼镜（  ）件，铅防护屏风（   ）件</w:t>
      </w:r>
    </w:p>
    <w:p>
      <w:pPr>
        <w:adjustRightInd w:val="0"/>
        <w:snapToGrid w:val="0"/>
        <w:spacing w:line="360" w:lineRule="exact"/>
        <w:rPr>
          <w:rFonts w:ascii="仿宋_GB2312" w:hAnsi="仿宋_GB2312" w:eastAsia="仿宋_GB2312"/>
          <w:color w:val="auto"/>
          <w:szCs w:val="21"/>
        </w:rPr>
      </w:pP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．放射治疗</w:t>
      </w:r>
    </w:p>
    <w:p>
      <w:pPr>
        <w:adjustRightInd w:val="0"/>
        <w:snapToGrid w:val="0"/>
        <w:spacing w:line="360" w:lineRule="exact"/>
        <w:rPr>
          <w:rFonts w:ascii="仿宋_GB2312" w:hAnsi="仿宋_GB2312" w:eastAsia="仿宋_GB2312"/>
          <w:dstrike/>
          <w:color w:val="auto"/>
          <w:szCs w:val="21"/>
        </w:rPr>
      </w:pPr>
      <w:r>
        <w:rPr>
          <w:rFonts w:hint="eastAsia" w:ascii="仿宋_GB2312" w:hAnsi="仿宋_GB2312" w:eastAsia="仿宋_GB2312" w:cs="仿宋_GB2312"/>
          <w:color w:val="auto"/>
          <w:szCs w:val="21"/>
        </w:rPr>
        <w:t xml:space="preserve">  放射工作人员人数</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男性</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，女性</w:t>
      </w:r>
      <w:r>
        <w:rPr>
          <w:rFonts w:hint="eastAsia" w:ascii="仿宋_GB2312" w:hAnsi="仿宋_GB2312" w:eastAsia="仿宋_GB2312" w:cs="仿宋_GB2312"/>
          <w:color w:val="auto"/>
          <w:szCs w:val="21"/>
          <w:u w:val="single"/>
        </w:rPr>
        <w:t>□□□人</w:t>
      </w:r>
    </w:p>
    <w:p>
      <w:pPr>
        <w:spacing w:line="360" w:lineRule="exact"/>
        <w:ind w:firstLine="197" w:firstLineChars="94"/>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防护配套设备：个人剂量报警仪</w:t>
      </w:r>
      <w:r>
        <w:rPr>
          <w:rFonts w:hint="eastAsia" w:ascii="仿宋_GB2312" w:hAnsi="仿宋_GB2312" w:eastAsia="仿宋_GB2312" w:cs="仿宋_GB2312"/>
          <w:color w:val="auto"/>
          <w:szCs w:val="21"/>
          <w:u w:val="single"/>
        </w:rPr>
        <w:t>□□</w:t>
      </w:r>
      <w:r>
        <w:rPr>
          <w:rFonts w:hint="eastAsia" w:ascii="仿宋_GB2312" w:hAnsi="仿宋_GB2312" w:eastAsia="仿宋_GB2312" w:cs="仿宋_GB2312"/>
          <w:color w:val="auto"/>
          <w:szCs w:val="21"/>
        </w:rPr>
        <w:t>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辐射巡测仪</w:t>
      </w:r>
      <w:r>
        <w:rPr>
          <w:rFonts w:hint="eastAsia" w:ascii="仿宋_GB2312" w:hAnsi="仿宋_GB2312" w:eastAsia="仿宋_GB2312" w:cs="仿宋_GB2312"/>
          <w:color w:val="auto"/>
          <w:szCs w:val="21"/>
          <w:u w:val="single"/>
        </w:rPr>
        <w:t>□□</w:t>
      </w:r>
      <w:r>
        <w:rPr>
          <w:rFonts w:hint="eastAsia" w:ascii="仿宋_GB2312" w:hAnsi="仿宋_GB2312" w:eastAsia="仿宋_GB2312" w:cs="仿宋_GB2312"/>
          <w:color w:val="auto"/>
          <w:szCs w:val="21"/>
        </w:rPr>
        <w:t>台</w:t>
      </w:r>
      <w:r>
        <w:rPr>
          <w:rFonts w:ascii="仿宋_GB2312" w:hAnsi="仿宋_GB2312" w:eastAsia="仿宋_GB2312" w:cs="仿宋_GB2312"/>
          <w:color w:val="auto"/>
          <w:szCs w:val="21"/>
        </w:rPr>
        <w:t xml:space="preserve"> </w:t>
      </w:r>
    </w:p>
    <w:p>
      <w:pPr>
        <w:spacing w:line="360" w:lineRule="exact"/>
        <w:rPr>
          <w:rFonts w:ascii="仿宋_GB2312" w:hAnsi="仿宋_GB2312" w:eastAsia="仿宋_GB2312"/>
          <w:color w:val="auto"/>
          <w:szCs w:val="21"/>
        </w:rPr>
      </w:pPr>
      <w:r>
        <w:rPr>
          <w:rFonts w:ascii="仿宋_GB2312" w:hAnsi="仿宋_GB2312" w:eastAsia="仿宋_GB2312" w:cs="仿宋_GB2312"/>
          <w:color w:val="auto"/>
          <w:szCs w:val="21"/>
        </w:rPr>
        <w:t>3</w:t>
      </w:r>
      <w:r>
        <w:rPr>
          <w:rFonts w:hint="eastAsia" w:ascii="仿宋_GB2312" w:hAnsi="仿宋_GB2312" w:eastAsia="仿宋_GB2312" w:cs="仿宋_GB2312"/>
          <w:color w:val="auto"/>
          <w:szCs w:val="21"/>
        </w:rPr>
        <w:t>．核医学</w:t>
      </w:r>
    </w:p>
    <w:p>
      <w:pPr>
        <w:adjustRightInd w:val="0"/>
        <w:snapToGrid w:val="0"/>
        <w:spacing w:line="360" w:lineRule="exact"/>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 xml:space="preserve">  放射工作人员人数</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男性</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，女性</w:t>
      </w:r>
      <w:r>
        <w:rPr>
          <w:rFonts w:hint="eastAsia" w:ascii="仿宋_GB2312" w:hAnsi="仿宋_GB2312" w:eastAsia="仿宋_GB2312" w:cs="仿宋_GB2312"/>
          <w:color w:val="auto"/>
          <w:szCs w:val="21"/>
          <w:u w:val="single"/>
        </w:rPr>
        <w:t>□□□人</w:t>
      </w:r>
    </w:p>
    <w:p>
      <w:pPr>
        <w:spacing w:line="360" w:lineRule="exact"/>
        <w:rPr>
          <w:rFonts w:ascii="仿宋_GB2312" w:hAnsi="仿宋_GB2312" w:eastAsia="仿宋_GB2312" w:cs="仿宋_GB2312"/>
          <w:color w:val="auto"/>
          <w:szCs w:val="18"/>
          <w:u w:val="single"/>
        </w:rPr>
      </w:pP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b/>
          <w:color w:val="auto"/>
          <w:szCs w:val="21"/>
        </w:rPr>
        <w:t xml:space="preserve"> </w:t>
      </w:r>
      <w:r>
        <w:rPr>
          <w:rFonts w:hint="eastAsia" w:ascii="仿宋_GB2312" w:hAnsi="仿宋_GB2312" w:eastAsia="仿宋_GB2312" w:cs="仿宋_GB2312"/>
          <w:color w:val="auto"/>
          <w:szCs w:val="18"/>
        </w:rPr>
        <w:t>分装、注射等直接操作放射性核素的放射工作人员数量</w:t>
      </w:r>
      <w:r>
        <w:rPr>
          <w:rFonts w:hint="eastAsia" w:ascii="仿宋_GB2312" w:hAnsi="仿宋_GB2312" w:eastAsia="仿宋_GB2312" w:cs="仿宋_GB2312"/>
          <w:color w:val="auto"/>
          <w:szCs w:val="18"/>
          <w:u w:val="single"/>
        </w:rPr>
        <w:t>□□□</w:t>
      </w:r>
      <w:r>
        <w:rPr>
          <w:rFonts w:hint="eastAsia" w:ascii="仿宋_GB2312" w:hAnsi="仿宋_GB2312" w:eastAsia="仿宋_GB2312" w:cs="仿宋_GB2312"/>
          <w:color w:val="auto"/>
          <w:szCs w:val="18"/>
        </w:rPr>
        <w:t>人</w:t>
      </w:r>
    </w:p>
    <w:p>
      <w:pPr>
        <w:spacing w:line="360" w:lineRule="exact"/>
        <w:ind w:firstLine="210" w:firstLineChars="100"/>
        <w:rPr>
          <w:rFonts w:hint="eastAsia" w:ascii="仿宋_GB2312" w:hAnsi="仿宋_GB2312" w:eastAsia="仿宋_GB2312" w:cs="仿宋_GB2312"/>
          <w:color w:val="auto"/>
          <w:szCs w:val="18"/>
        </w:rPr>
      </w:pPr>
      <w:r>
        <w:rPr>
          <w:rFonts w:hint="eastAsia" w:ascii="仿宋_GB2312" w:hAnsi="仿宋_GB2312" w:eastAsia="仿宋_GB2312" w:cs="仿宋_GB2312"/>
          <w:color w:val="auto"/>
          <w:szCs w:val="18"/>
        </w:rPr>
        <w:t>工作人员个人防护用品和辅助防护设施配置：</w:t>
      </w:r>
    </w:p>
    <w:p>
      <w:pPr>
        <w:spacing w:line="360" w:lineRule="exact"/>
        <w:ind w:firstLine="840" w:firstLineChars="400"/>
        <w:rPr>
          <w:rFonts w:hint="eastAsia" w:ascii="仿宋_GB2312" w:hAnsi="仿宋_GB2312" w:eastAsia="仿宋_GB2312" w:cs="仿宋_GB2312"/>
          <w:color w:val="auto"/>
          <w:sz w:val="21"/>
          <w:szCs w:val="18"/>
        </w:rPr>
      </w:pPr>
      <w:r>
        <w:rPr>
          <w:rFonts w:hint="eastAsia" w:ascii="仿宋_GB2312" w:hAnsi="仿宋_GB2312" w:eastAsia="仿宋_GB2312" w:cs="仿宋_GB2312"/>
          <w:color w:val="auto"/>
          <w:sz w:val="21"/>
          <w:szCs w:val="18"/>
        </w:rPr>
        <w:t>活度计</w:t>
      </w:r>
      <w:r>
        <w:rPr>
          <w:rFonts w:hint="eastAsia" w:ascii="仿宋_GB2312" w:hAnsi="仿宋_GB2312" w:eastAsia="仿宋_GB2312" w:cs="仿宋_GB2312"/>
          <w:color w:val="auto"/>
          <w:kern w:val="2"/>
          <w:sz w:val="21"/>
          <w:szCs w:val="18"/>
        </w:rPr>
        <w:t>_______</w:t>
      </w:r>
      <w:r>
        <w:rPr>
          <w:rFonts w:hint="eastAsia" w:ascii="仿宋_GB2312" w:hAnsi="仿宋_GB2312" w:eastAsia="仿宋_GB2312" w:cs="仿宋_GB2312"/>
          <w:color w:val="auto"/>
          <w:sz w:val="21"/>
          <w:szCs w:val="18"/>
        </w:rPr>
        <w:t>台，放射性表面污染监测仪</w:t>
      </w:r>
      <w:r>
        <w:rPr>
          <w:rFonts w:hint="eastAsia" w:ascii="仿宋_GB2312" w:hAnsi="仿宋_GB2312" w:eastAsia="仿宋_GB2312" w:cs="仿宋_GB2312"/>
          <w:color w:val="auto"/>
          <w:kern w:val="2"/>
          <w:sz w:val="21"/>
          <w:szCs w:val="18"/>
        </w:rPr>
        <w:t>_______</w:t>
      </w:r>
      <w:r>
        <w:rPr>
          <w:rFonts w:hint="eastAsia" w:ascii="仿宋_GB2312" w:hAnsi="仿宋_GB2312" w:eastAsia="仿宋_GB2312" w:cs="仿宋_GB2312"/>
          <w:color w:val="auto"/>
          <w:sz w:val="21"/>
          <w:szCs w:val="18"/>
        </w:rPr>
        <w:t>台</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铅橡胶围裙（  ）件，铅橡胶帽子（  ）件，铅橡胶颈套（   ）件</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铅橡胶手套（  ）付，铅防护眼镜（  ）件，</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其他（   ）件，包括（                           ）</w:t>
      </w:r>
    </w:p>
    <w:p>
      <w:pPr>
        <w:adjustRightInd w:val="0"/>
        <w:snapToGrid w:val="0"/>
        <w:spacing w:line="360" w:lineRule="exact"/>
        <w:rPr>
          <w:rFonts w:ascii="仿宋_GB2312" w:hAnsi="仿宋_GB2312" w:eastAsia="仿宋_GB2312"/>
          <w:color w:val="auto"/>
          <w:szCs w:val="21"/>
        </w:rPr>
      </w:pPr>
      <w:r>
        <w:rPr>
          <w:rFonts w:ascii="仿宋_GB2312" w:hAnsi="仿宋_GB2312" w:eastAsia="仿宋_GB2312" w:cs="仿宋_GB2312"/>
          <w:color w:val="auto"/>
          <w:szCs w:val="21"/>
        </w:rPr>
        <w:t>4</w:t>
      </w:r>
      <w:r>
        <w:rPr>
          <w:rFonts w:hint="eastAsia" w:ascii="仿宋_GB2312" w:hAnsi="仿宋_GB2312" w:eastAsia="仿宋_GB2312" w:cs="仿宋_GB2312"/>
          <w:color w:val="auto"/>
          <w:szCs w:val="21"/>
        </w:rPr>
        <w:t>．介入放射学</w:t>
      </w:r>
    </w:p>
    <w:p>
      <w:pPr>
        <w:adjustRightInd w:val="0"/>
        <w:snapToGrid w:val="0"/>
        <w:spacing w:line="360" w:lineRule="exact"/>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 xml:space="preserve">  放射工作人员人数</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男性</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，女性</w:t>
      </w:r>
      <w:r>
        <w:rPr>
          <w:rFonts w:hint="eastAsia" w:ascii="仿宋_GB2312" w:hAnsi="仿宋_GB2312" w:eastAsia="仿宋_GB2312" w:cs="仿宋_GB2312"/>
          <w:color w:val="auto"/>
          <w:szCs w:val="21"/>
          <w:u w:val="single"/>
        </w:rPr>
        <w:t>□□□人</w:t>
      </w:r>
    </w:p>
    <w:p>
      <w:pPr>
        <w:spacing w:line="360" w:lineRule="exact"/>
        <w:ind w:firstLine="211" w:firstLineChars="100"/>
        <w:rPr>
          <w:rFonts w:ascii="仿宋_GB2312" w:hAnsi="仿宋_GB2312" w:eastAsia="仿宋_GB2312" w:cs="仿宋_GB2312"/>
          <w:color w:val="auto"/>
          <w:szCs w:val="18"/>
          <w:u w:val="single"/>
        </w:rPr>
      </w:pPr>
      <w:r>
        <w:rPr>
          <w:rFonts w:hint="eastAsia" w:ascii="仿宋_GB2312" w:hAnsi="仿宋_GB2312" w:eastAsia="仿宋_GB2312" w:cs="仿宋_GB2312"/>
          <w:b/>
          <w:color w:val="auto"/>
          <w:szCs w:val="18"/>
        </w:rPr>
        <w:t>月工作量</w:t>
      </w:r>
      <w:r>
        <w:rPr>
          <w:rFonts w:hint="eastAsia" w:ascii="仿宋_GB2312" w:hAnsi="仿宋_GB2312" w:eastAsia="仿宋_GB2312" w:cs="仿宋_GB2312"/>
          <w:b/>
          <w:color w:val="auto"/>
          <w:szCs w:val="18"/>
          <w:lang w:val="en-US" w:eastAsia="zh-CN"/>
        </w:rPr>
        <w:t>4</w:t>
      </w:r>
      <w:r>
        <w:rPr>
          <w:rFonts w:hint="eastAsia" w:ascii="仿宋_GB2312" w:hAnsi="仿宋_GB2312" w:eastAsia="仿宋_GB2312" w:cs="仿宋_GB2312"/>
          <w:b/>
          <w:color w:val="auto"/>
          <w:szCs w:val="18"/>
        </w:rPr>
        <w:t>0例手术及以上介入工作人员数</w:t>
      </w:r>
      <w:r>
        <w:rPr>
          <w:rFonts w:hint="eastAsia" w:ascii="仿宋_GB2312" w:hAnsi="仿宋_GB2312" w:eastAsia="仿宋_GB2312" w:cs="仿宋_GB2312"/>
          <w:b/>
          <w:color w:val="auto"/>
          <w:szCs w:val="18"/>
          <w:u w:val="single"/>
        </w:rPr>
        <w:t>□□□</w:t>
      </w:r>
      <w:r>
        <w:rPr>
          <w:rFonts w:hint="eastAsia" w:ascii="仿宋_GB2312" w:hAnsi="仿宋_GB2312" w:eastAsia="仿宋_GB2312" w:cs="仿宋_GB2312"/>
          <w:b/>
          <w:color w:val="auto"/>
          <w:szCs w:val="18"/>
        </w:rPr>
        <w:t>人，</w:t>
      </w:r>
      <w:r>
        <w:rPr>
          <w:rFonts w:hint="eastAsia" w:ascii="仿宋_GB2312" w:hAnsi="仿宋_GB2312" w:eastAsia="仿宋_GB2312" w:cs="仿宋_GB2312"/>
          <w:color w:val="auto"/>
          <w:szCs w:val="21"/>
        </w:rPr>
        <w:t>男性</w:t>
      </w:r>
      <w:r>
        <w:rPr>
          <w:rFonts w:hint="eastAsia" w:ascii="仿宋_GB2312" w:hAnsi="仿宋_GB2312" w:eastAsia="仿宋_GB2312" w:cs="仿宋_GB2312"/>
          <w:color w:val="auto"/>
          <w:szCs w:val="21"/>
          <w:u w:val="single"/>
        </w:rPr>
        <w:t>□□□人</w:t>
      </w:r>
      <w:r>
        <w:rPr>
          <w:rFonts w:hint="eastAsia" w:ascii="仿宋_GB2312" w:hAnsi="仿宋_GB2312" w:eastAsia="仿宋_GB2312" w:cs="仿宋_GB2312"/>
          <w:color w:val="auto"/>
          <w:szCs w:val="21"/>
        </w:rPr>
        <w:t>，女性</w:t>
      </w:r>
      <w:r>
        <w:rPr>
          <w:rFonts w:hint="eastAsia" w:ascii="仿宋_GB2312" w:hAnsi="仿宋_GB2312" w:eastAsia="仿宋_GB2312" w:cs="仿宋_GB2312"/>
          <w:color w:val="auto"/>
          <w:szCs w:val="21"/>
          <w:u w:val="single"/>
        </w:rPr>
        <w:t>□□□人</w:t>
      </w:r>
    </w:p>
    <w:p>
      <w:pPr>
        <w:spacing w:line="360" w:lineRule="exact"/>
        <w:ind w:firstLine="210" w:firstLineChars="100"/>
        <w:rPr>
          <w:rFonts w:ascii="仿宋_GB2312" w:hAnsi="仿宋_GB2312" w:eastAsia="仿宋_GB2312" w:cs="仿宋_GB2312"/>
          <w:color w:val="auto"/>
          <w:szCs w:val="18"/>
          <w:u w:val="single"/>
        </w:rPr>
      </w:pPr>
      <w:r>
        <w:rPr>
          <w:rFonts w:hint="eastAsia" w:ascii="仿宋_GB2312" w:hAnsi="仿宋_GB2312" w:eastAsia="仿宋_GB2312" w:cs="仿宋_GB2312"/>
          <w:color w:val="auto"/>
          <w:szCs w:val="18"/>
        </w:rPr>
        <w:t>佩戴双剂量计监测的放射工作人员数量</w:t>
      </w:r>
      <w:r>
        <w:rPr>
          <w:rFonts w:hint="eastAsia" w:ascii="仿宋_GB2312" w:hAnsi="仿宋_GB2312" w:eastAsia="仿宋_GB2312" w:cs="仿宋_GB2312"/>
          <w:color w:val="auto"/>
          <w:szCs w:val="18"/>
          <w:u w:val="single"/>
        </w:rPr>
        <w:t>□□□</w:t>
      </w:r>
      <w:r>
        <w:rPr>
          <w:rFonts w:hint="eastAsia" w:ascii="仿宋_GB2312" w:hAnsi="仿宋_GB2312" w:eastAsia="仿宋_GB2312" w:cs="仿宋_GB2312"/>
          <w:color w:val="auto"/>
          <w:szCs w:val="18"/>
        </w:rPr>
        <w:t>人</w:t>
      </w:r>
    </w:p>
    <w:p>
      <w:pPr>
        <w:spacing w:line="360" w:lineRule="exact"/>
        <w:ind w:firstLine="210" w:firstLineChars="10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工作人员个人防护用品和辅助防护设施</w:t>
      </w:r>
      <w:r>
        <w:rPr>
          <w:rFonts w:hint="eastAsia" w:ascii="仿宋_GB2312" w:hAnsi="仿宋_GB2312" w:eastAsia="仿宋_GB2312" w:cs="仿宋_GB2312"/>
          <w:color w:val="auto"/>
          <w:szCs w:val="21"/>
          <w:lang w:eastAsia="zh-CN"/>
        </w:rPr>
        <w:t>（不包括为患者准备的）</w:t>
      </w:r>
      <w:r>
        <w:rPr>
          <w:rFonts w:hint="eastAsia" w:ascii="仿宋_GB2312" w:hAnsi="仿宋_GB2312" w:eastAsia="仿宋_GB2312" w:cs="仿宋_GB2312"/>
          <w:color w:val="auto"/>
          <w:szCs w:val="18"/>
        </w:rPr>
        <w:t>：</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铅橡胶围裙（  ）件，铅橡胶帽子（  ）件，铅橡胶颈套（   ）件</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铅橡胶手套（  ）付，铅防护眼镜（  ）件，</w:t>
      </w:r>
    </w:p>
    <w:p>
      <w:pPr>
        <w:spacing w:line="360" w:lineRule="exact"/>
        <w:ind w:left="420" w:firstLine="420"/>
        <w:rPr>
          <w:rFonts w:ascii="仿宋_GB2312" w:hAnsi="仿宋_GB2312" w:eastAsia="仿宋_GB2312" w:cs="仿宋_GB2312"/>
          <w:color w:val="auto"/>
          <w:szCs w:val="18"/>
        </w:rPr>
      </w:pPr>
      <w:r>
        <w:rPr>
          <w:rFonts w:hint="eastAsia" w:ascii="仿宋_GB2312" w:hAnsi="仿宋_GB2312" w:eastAsia="仿宋_GB2312" w:cs="仿宋_GB2312"/>
          <w:color w:val="auto"/>
          <w:szCs w:val="18"/>
        </w:rPr>
        <w:t>铅悬挂防护屏（   ）件，防护吊帘（   ）件，床侧防护帘（   ）件</w:t>
      </w:r>
    </w:p>
    <w:p>
      <w:pPr>
        <w:spacing w:line="360" w:lineRule="exact"/>
        <w:ind w:left="420" w:firstLine="420"/>
        <w:rPr>
          <w:rFonts w:ascii="仿宋_GB2312" w:hAnsi="仿宋_GB2312" w:eastAsia="仿宋_GB2312" w:cs="仿宋_GB2312"/>
          <w:b/>
          <w:color w:val="auto"/>
          <w:szCs w:val="21"/>
        </w:rPr>
      </w:pPr>
      <w:r>
        <w:rPr>
          <w:rFonts w:hint="eastAsia" w:ascii="仿宋_GB2312" w:hAnsi="仿宋_GB2312" w:eastAsia="仿宋_GB2312" w:cs="仿宋_GB2312"/>
          <w:color w:val="auto"/>
          <w:szCs w:val="18"/>
        </w:rPr>
        <w:t>床侧防护屏（   ）件，移动防护屏（   ）件</w:t>
      </w:r>
    </w:p>
    <w:p>
      <w:pPr>
        <w:spacing w:line="360" w:lineRule="exact"/>
        <w:ind w:left="420" w:firstLine="420"/>
        <w:rPr>
          <w:rFonts w:hint="eastAsia" w:ascii="仿宋_GB2312" w:hAnsi="仿宋_GB2312" w:eastAsia="仿宋_GB2312" w:cs="仿宋_GB2312"/>
          <w:color w:val="auto"/>
          <w:szCs w:val="18"/>
        </w:rPr>
      </w:pPr>
      <w:r>
        <w:rPr>
          <w:rFonts w:hint="eastAsia" w:ascii="仿宋_GB2312" w:hAnsi="仿宋_GB2312" w:eastAsia="仿宋_GB2312" w:cs="仿宋_GB2312"/>
          <w:color w:val="auto"/>
          <w:szCs w:val="18"/>
        </w:rPr>
        <w:br w:type="page"/>
      </w:r>
    </w:p>
    <w:p>
      <w:pPr>
        <w:rPr>
          <w:rFonts w:ascii="仿宋_GB2312" w:hAnsi="仿宋_GB2312" w:eastAsia="仿宋_GB2312"/>
          <w:b/>
          <w:color w:val="auto"/>
          <w:szCs w:val="21"/>
        </w:rPr>
      </w:pPr>
      <w:r>
        <w:rPr>
          <w:rFonts w:hint="eastAsia" w:ascii="仿宋_GB2312" w:hAnsi="仿宋_GB2312" w:eastAsia="仿宋_GB2312" w:cs="仿宋_GB2312"/>
          <w:b/>
          <w:color w:val="auto"/>
          <w:szCs w:val="21"/>
        </w:rPr>
        <w:t>二、放射工作人员培训与职业健康监护</w:t>
      </w:r>
    </w:p>
    <w:tbl>
      <w:tblPr>
        <w:tblStyle w:val="13"/>
        <w:tblW w:w="9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8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12" w:type="dxa"/>
            <w:tcBorders>
              <w:top w:val="single" w:color="auto" w:sz="4" w:space="0"/>
              <w:left w:val="single" w:color="auto" w:sz="4" w:space="0"/>
              <w:bottom w:val="single" w:color="auto" w:sz="4" w:space="0"/>
              <w:right w:val="single" w:color="auto" w:sz="4" w:space="0"/>
            </w:tcBorders>
            <w:vAlign w:val="top"/>
          </w:tcPr>
          <w:p>
            <w:pPr>
              <w:tabs>
                <w:tab w:val="left" w:pos="6120"/>
              </w:tabs>
              <w:spacing w:line="340" w:lineRule="exact"/>
              <w:jc w:val="center"/>
              <w:rPr>
                <w:rFonts w:ascii="仿宋_GB2312" w:hAnsi="仿宋_GB2312" w:eastAsia="仿宋_GB2312"/>
                <w:color w:val="auto"/>
                <w:szCs w:val="21"/>
              </w:rPr>
            </w:pPr>
            <w:r>
              <w:rPr>
                <w:rFonts w:hint="eastAsia" w:ascii="仿宋_GB2312" w:hAnsi="仿宋_GB2312" w:eastAsia="仿宋_GB2312" w:cs="仿宋_GB2312"/>
                <w:color w:val="auto"/>
                <w:szCs w:val="21"/>
              </w:rPr>
              <w:t>放射工作人员培训</w:t>
            </w:r>
          </w:p>
        </w:tc>
        <w:tc>
          <w:tcPr>
            <w:tcW w:w="8201"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上岗前培训人数    （   ）</w:t>
            </w:r>
          </w:p>
          <w:p>
            <w:pPr>
              <w:spacing w:line="340" w:lineRule="exact"/>
              <w:rPr>
                <w:rFonts w:ascii="仿宋_GB2312" w:hAnsi="仿宋_GB2312" w:eastAsia="仿宋_GB2312"/>
                <w:color w:val="auto"/>
                <w:szCs w:val="21"/>
              </w:rPr>
            </w:pPr>
            <w:r>
              <w:rPr>
                <w:rFonts w:hint="eastAsia" w:ascii="仿宋_GB2312" w:hAnsi="仿宋_GB2312" w:eastAsia="仿宋_GB2312" w:cs="仿宋_GB2312"/>
                <w:color w:val="auto"/>
                <w:szCs w:val="21"/>
              </w:rPr>
              <w:t>在岗培训人数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12" w:type="dxa"/>
            <w:tcBorders>
              <w:top w:val="single" w:color="auto" w:sz="4" w:space="0"/>
              <w:left w:val="single" w:color="auto" w:sz="4" w:space="0"/>
              <w:bottom w:val="single" w:color="auto" w:sz="4" w:space="0"/>
              <w:right w:val="single" w:color="auto" w:sz="4" w:space="0"/>
            </w:tcBorders>
            <w:vAlign w:val="top"/>
          </w:tcPr>
          <w:p>
            <w:pPr>
              <w:tabs>
                <w:tab w:val="left" w:pos="6120"/>
              </w:tabs>
              <w:spacing w:line="340" w:lineRule="exact"/>
              <w:jc w:val="center"/>
              <w:rPr>
                <w:rFonts w:ascii="仿宋_GB2312" w:hAnsi="仿宋_GB2312" w:eastAsia="仿宋_GB2312"/>
                <w:color w:val="auto"/>
                <w:szCs w:val="21"/>
              </w:rPr>
            </w:pPr>
            <w:r>
              <w:rPr>
                <w:rFonts w:hint="eastAsia" w:ascii="仿宋_GB2312" w:hAnsi="仿宋_GB2312" w:eastAsia="仿宋_GB2312" w:cs="仿宋_GB2312"/>
                <w:color w:val="auto"/>
                <w:szCs w:val="21"/>
              </w:rPr>
              <w:t>放射工作人员持证</w:t>
            </w:r>
          </w:p>
        </w:tc>
        <w:tc>
          <w:tcPr>
            <w:tcW w:w="820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olor w:val="auto"/>
                <w:szCs w:val="21"/>
              </w:rPr>
            </w:pPr>
            <w:r>
              <w:rPr>
                <w:rFonts w:hint="eastAsia" w:ascii="仿宋_GB2312" w:hAnsi="仿宋_GB2312" w:eastAsia="仿宋_GB2312" w:cs="仿宋_GB2312"/>
                <w:color w:val="auto"/>
                <w:szCs w:val="21"/>
              </w:rPr>
              <w:t>持证人数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发证单位</w:t>
            </w:r>
            <w:r>
              <w:rPr>
                <w:rFonts w:ascii="仿宋_GB2312" w:hAnsi="仿宋_GB2312" w:eastAsia="仿宋_GB2312" w:cs="仿宋_GB2312"/>
                <w:color w:val="auto"/>
                <w:szCs w:val="21"/>
              </w:rPr>
              <w:t>______________________</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__________________</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____________________</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left" w:pos="6120"/>
              </w:tabs>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个人剂量监测</w:t>
            </w:r>
          </w:p>
        </w:tc>
        <w:tc>
          <w:tcPr>
            <w:tcW w:w="8201" w:type="dxa"/>
            <w:tcBorders>
              <w:top w:val="single" w:color="auto" w:sz="4" w:space="0"/>
              <w:left w:val="single" w:color="auto" w:sz="4" w:space="0"/>
              <w:bottom w:val="single" w:color="auto" w:sz="4" w:space="0"/>
              <w:right w:val="single" w:color="auto" w:sz="4" w:space="0"/>
            </w:tcBorders>
            <w:vAlign w:val="top"/>
          </w:tcPr>
          <w:p>
            <w:pPr>
              <w:spacing w:line="34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1.个人剂量监测情况：            没有监测□     监测□</w:t>
            </w:r>
          </w:p>
          <w:p>
            <w:pPr>
              <w:spacing w:line="34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2.提供剂量监测服务的机构为：_______________________</w:t>
            </w:r>
          </w:p>
          <w:p>
            <w:pPr>
              <w:spacing w:line="340" w:lineRule="exact"/>
              <w:ind w:firstLine="420" w:firstLineChars="20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3.建立放射工作人员个人剂量监测档案人数 （      ）</w:t>
            </w:r>
          </w:p>
          <w:p>
            <w:pPr>
              <w:spacing w:line="340" w:lineRule="exact"/>
              <w:ind w:firstLine="420" w:firstLineChars="20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4.个人剂量应监测人数（  ）</w:t>
            </w:r>
            <w:r>
              <w:rPr>
                <w:rFonts w:hint="eastAsia" w:ascii="仿宋_GB2312" w:hAnsi="仿宋_GB2312" w:eastAsia="仿宋_GB2312" w:cs="仿宋_GB2312"/>
                <w:color w:val="auto"/>
                <w:szCs w:val="21"/>
                <w:lang w:val="en-US" w:eastAsia="zh-CN"/>
              </w:rPr>
              <w:t>，</w:t>
            </w:r>
            <w:r>
              <w:rPr>
                <w:rFonts w:hint="eastAsia" w:ascii="仿宋_GB2312" w:hAnsi="仿宋_GB2312" w:eastAsia="仿宋_GB2312" w:cs="仿宋_GB2312"/>
                <w:color w:val="auto"/>
                <w:szCs w:val="21"/>
              </w:rPr>
              <w:t>实监测人数（  ）</w:t>
            </w:r>
            <w:r>
              <w:rPr>
                <w:rFonts w:hint="eastAsia" w:ascii="仿宋_GB2312" w:hAnsi="仿宋_GB2312" w:eastAsia="仿宋_GB2312" w:cs="仿宋_GB2312"/>
                <w:color w:val="auto"/>
                <w:szCs w:val="21"/>
                <w:lang w:val="en-US" w:eastAsia="zh-CN"/>
              </w:rPr>
              <w:t>，</w:t>
            </w:r>
          </w:p>
          <w:p>
            <w:pPr>
              <w:spacing w:line="340" w:lineRule="exact"/>
              <w:ind w:firstLine="420" w:firstLineChars="200"/>
              <w:rPr>
                <w:rFonts w:hint="eastAsia" w:eastAsia="仿宋_GB2312"/>
                <w:color w:val="auto"/>
                <w:lang w:eastAsia="zh-CN"/>
              </w:rPr>
            </w:pPr>
            <w:r>
              <w:rPr>
                <w:rFonts w:hint="eastAsia" w:ascii="仿宋_GB2312" w:hAnsi="仿宋_GB2312" w:eastAsia="仿宋_GB2312" w:cs="仿宋_GB2312"/>
                <w:color w:val="auto"/>
                <w:szCs w:val="21"/>
              </w:rPr>
              <w:t>年个人剂量Hp(10)≥20mSv人数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tabs>
                <w:tab w:val="left" w:pos="6120"/>
              </w:tabs>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职业健康体检与职业健康监护档案</w:t>
            </w:r>
          </w:p>
        </w:tc>
        <w:tc>
          <w:tcPr>
            <w:tcW w:w="8201"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 建立放射工作人员职业健康监护档案人数（    ）</w:t>
            </w:r>
          </w:p>
          <w:p>
            <w:pPr>
              <w:spacing w:line="340" w:lineRule="exact"/>
              <w:rPr>
                <w:rFonts w:ascii="仿宋_GB2312" w:hAnsi="仿宋_GB2312" w:eastAsia="仿宋_GB2312" w:cs="仿宋_GB2312"/>
                <w:color w:val="auto"/>
                <w:szCs w:val="21"/>
                <w:u w:val="single"/>
              </w:rPr>
            </w:pPr>
            <w:r>
              <w:rPr>
                <w:rFonts w:hint="eastAsia" w:ascii="仿宋_GB2312" w:hAnsi="仿宋_GB2312" w:eastAsia="仿宋_GB2312" w:cs="仿宋_GB2312"/>
                <w:color w:val="auto"/>
                <w:szCs w:val="21"/>
              </w:rPr>
              <w:t>2. 本周期（</w:t>
            </w:r>
            <w:r>
              <w:rPr>
                <w:rFonts w:ascii="仿宋_GB2312" w:hAnsi="仿宋_GB2312" w:eastAsia="仿宋_GB2312"/>
                <w:b/>
                <w:color w:val="auto"/>
                <w:szCs w:val="21"/>
              </w:rPr>
              <w:t>20</w:t>
            </w:r>
            <w:r>
              <w:rPr>
                <w:rFonts w:hint="eastAsia" w:ascii="仿宋_GB2312" w:hAnsi="仿宋_GB2312" w:eastAsia="仿宋_GB2312"/>
                <w:b/>
                <w:color w:val="auto"/>
                <w:szCs w:val="21"/>
                <w:lang w:val="en-US" w:eastAsia="zh-CN"/>
              </w:rPr>
              <w:t>20</w:t>
            </w:r>
            <w:r>
              <w:rPr>
                <w:rFonts w:ascii="仿宋_GB2312" w:hAnsi="仿宋_GB2312" w:eastAsia="仿宋_GB2312"/>
                <w:b/>
                <w:color w:val="auto"/>
                <w:szCs w:val="21"/>
              </w:rPr>
              <w:t>.</w:t>
            </w:r>
            <w:r>
              <w:rPr>
                <w:rFonts w:hint="eastAsia" w:ascii="仿宋_GB2312" w:hAnsi="仿宋_GB2312" w:eastAsia="仿宋_GB2312"/>
                <w:b/>
                <w:color w:val="auto"/>
                <w:szCs w:val="21"/>
                <w:lang w:val="en-US" w:eastAsia="zh-CN"/>
              </w:rPr>
              <w:t>7</w:t>
            </w:r>
            <w:r>
              <w:rPr>
                <w:rFonts w:eastAsia="仿宋_GB2312"/>
                <w:color w:val="auto"/>
                <w:kern w:val="0"/>
                <w:sz w:val="24"/>
              </w:rPr>
              <w:t>~</w:t>
            </w:r>
            <w:r>
              <w:rPr>
                <w:rFonts w:hint="eastAsia" w:ascii="仿宋_GB2312" w:hAnsi="仿宋_GB2312" w:eastAsia="仿宋_GB2312"/>
                <w:b/>
                <w:color w:val="auto"/>
                <w:szCs w:val="21"/>
                <w:lang w:eastAsia="zh-CN"/>
              </w:rPr>
              <w:t>20</w:t>
            </w:r>
            <w:r>
              <w:rPr>
                <w:rFonts w:hint="eastAsia" w:ascii="仿宋_GB2312" w:hAnsi="仿宋_GB2312" w:eastAsia="仿宋_GB2312"/>
                <w:b/>
                <w:color w:val="auto"/>
                <w:szCs w:val="21"/>
                <w:lang w:val="en-US" w:eastAsia="zh-CN"/>
              </w:rPr>
              <w:t>22</w:t>
            </w:r>
            <w:r>
              <w:rPr>
                <w:rFonts w:ascii="仿宋_GB2312" w:hAnsi="仿宋_GB2312" w:eastAsia="仿宋_GB2312"/>
                <w:b/>
                <w:color w:val="auto"/>
                <w:szCs w:val="21"/>
              </w:rPr>
              <w:t>.</w:t>
            </w:r>
            <w:r>
              <w:rPr>
                <w:rFonts w:hint="eastAsia" w:ascii="仿宋_GB2312" w:hAnsi="仿宋_GB2312" w:eastAsia="仿宋_GB2312"/>
                <w:b/>
                <w:color w:val="auto"/>
                <w:szCs w:val="21"/>
                <w:lang w:val="en-US" w:eastAsia="zh-CN"/>
              </w:rPr>
              <w:t>6</w:t>
            </w:r>
            <w:r>
              <w:rPr>
                <w:rFonts w:hint="eastAsia" w:ascii="仿宋_GB2312" w:hAnsi="仿宋_GB2312" w:eastAsia="仿宋_GB2312" w:cs="仿宋_GB2312"/>
                <w:color w:val="auto"/>
                <w:szCs w:val="21"/>
              </w:rPr>
              <w:t>）职业健康体检时间、体检机构、人数：</w:t>
            </w:r>
          </w:p>
          <w:p>
            <w:pPr>
              <w:spacing w:line="340" w:lineRule="exact"/>
              <w:ind w:firstLine="210" w:firstLineChars="100"/>
              <w:rPr>
                <w:rFonts w:ascii="仿宋_GB2312" w:hAnsi="仿宋_GB2312" w:eastAsia="仿宋_GB2312" w:cs="仿宋_GB2312"/>
                <w:color w:val="auto"/>
                <w:szCs w:val="21"/>
                <w:u w:val="single"/>
              </w:rPr>
            </w:pP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年</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月</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u w:val="single"/>
              </w:rPr>
              <w:t xml:space="preserve">                                     、      人</w:t>
            </w:r>
          </w:p>
          <w:p>
            <w:pPr>
              <w:spacing w:line="340" w:lineRule="exact"/>
              <w:ind w:firstLine="210" w:firstLineChars="100"/>
              <w:rPr>
                <w:rFonts w:ascii="仿宋_GB2312" w:hAnsi="仿宋_GB2312" w:eastAsia="仿宋_GB2312" w:cs="仿宋_GB2312"/>
                <w:color w:val="auto"/>
                <w:szCs w:val="21"/>
                <w:u w:val="single"/>
              </w:rPr>
            </w:pP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年</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月</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u w:val="single"/>
              </w:rPr>
              <w:t xml:space="preserve">                                     、      人</w:t>
            </w:r>
          </w:p>
          <w:p>
            <w:pPr>
              <w:spacing w:line="340" w:lineRule="exact"/>
              <w:ind w:firstLine="210" w:firstLineChars="100"/>
              <w:rPr>
                <w:rFonts w:ascii="仿宋_GB2312" w:hAnsi="仿宋_GB2312" w:eastAsia="仿宋_GB2312" w:cs="仿宋_GB2312"/>
                <w:color w:val="auto"/>
                <w:szCs w:val="21"/>
                <w:u w:val="single"/>
              </w:rPr>
            </w:pP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年</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月</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u w:val="single"/>
              </w:rPr>
              <w:t xml:space="preserve">                                     、      人</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 放射工作人员数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4. 应检人数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     ）</w:t>
            </w:r>
          </w:p>
          <w:p>
            <w:pPr>
              <w:spacing w:line="34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其中，岗前（</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在岗（</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离岗（</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应急</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事故（</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 实际检查人数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p>
          <w:p>
            <w:pPr>
              <w:spacing w:line="340" w:lineRule="exact"/>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其中，岗前（</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在岗（</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离岗（</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应急</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事故（</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 在岗职业健康检查结果：</w:t>
            </w:r>
          </w:p>
          <w:p>
            <w:pPr>
              <w:spacing w:line="340" w:lineRule="exact"/>
              <w:rPr>
                <w:rFonts w:ascii="仿宋_GB2312" w:hAnsi="仿宋_GB2312" w:eastAsia="仿宋_GB2312" w:cs="仿宋_GB2312"/>
                <w:color w:val="auto"/>
                <w:szCs w:val="21"/>
              </w:rPr>
            </w:pP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可继续从事放射工作人数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rPr>
                <w:rFonts w:ascii="仿宋_GB2312" w:hAnsi="仿宋_GB2312" w:eastAsia="仿宋_GB2312" w:cs="仿宋_GB2312"/>
                <w:color w:val="auto"/>
                <w:szCs w:val="21"/>
              </w:rPr>
            </w:pP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建议暂时脱离放射工作人数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ind w:left="420" w:hanging="420" w:hangingChars="200"/>
              <w:rPr>
                <w:rFonts w:ascii="仿宋_GB2312" w:hAnsi="仿宋_GB2312" w:eastAsia="仿宋_GB2312" w:cs="仿宋_GB2312"/>
                <w:color w:val="auto"/>
                <w:szCs w:val="21"/>
              </w:rPr>
            </w:pP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不宜继续从事放射工作人数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ind w:firstLine="630" w:firstLineChars="3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其中，检出职业禁忌或健康损害人数（     ），</w:t>
            </w:r>
          </w:p>
          <w:p>
            <w:pPr>
              <w:spacing w:line="340" w:lineRule="exact"/>
              <w:ind w:firstLine="1365" w:firstLineChars="65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检出疑似放射病病人数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p>
          <w:p>
            <w:pPr>
              <w:spacing w:line="340" w:lineRule="exact"/>
              <w:ind w:firstLine="1365" w:firstLineChars="65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最终处理结果：调离人数（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），确诊放射病人数 (    )。</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7. 离岗检查中，疑似放射病人数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 xml:space="preserve"> （</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），确诊放射病人数 (    )</w:t>
            </w:r>
          </w:p>
          <w:p>
            <w:pPr>
              <w:spacing w:line="34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8. 应急</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事故检查，疑似放射病人数</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rPr>
              <w:t>），确诊放射病人数 (    )</w:t>
            </w:r>
          </w:p>
          <w:p>
            <w:pPr>
              <w:spacing w:line="340" w:lineRule="exact"/>
              <w:ind w:firstLine="525" w:firstLineChars="250"/>
              <w:rPr>
                <w:rFonts w:ascii="仿宋_GB2312" w:hAnsi="仿宋_GB2312" w:eastAsia="仿宋_GB2312" w:cs="仿宋_GB2312"/>
                <w:color w:val="auto"/>
                <w:szCs w:val="21"/>
              </w:rPr>
            </w:pPr>
          </w:p>
        </w:tc>
      </w:tr>
    </w:tbl>
    <w:p>
      <w:pPr>
        <w:adjustRightInd w:val="0"/>
        <w:spacing w:line="360" w:lineRule="exact"/>
        <w:rPr>
          <w:rFonts w:ascii="仿宋_GB2312" w:hAnsi="仿宋_GB2312" w:eastAsia="仿宋_GB2312" w:cs="仿宋_GB2312"/>
          <w:color w:val="auto"/>
          <w:szCs w:val="21"/>
        </w:rPr>
      </w:pPr>
    </w:p>
    <w:p>
      <w:pPr>
        <w:adjustRightInd w:val="0"/>
        <w:spacing w:line="360" w:lineRule="exact"/>
        <w:rPr>
          <w:rFonts w:ascii="仿宋_GB2312" w:hAnsi="仿宋_GB2312" w:eastAsia="仿宋_GB2312"/>
          <w:color w:val="auto"/>
          <w:szCs w:val="21"/>
        </w:rPr>
      </w:pPr>
      <w:r>
        <w:rPr>
          <w:rFonts w:hint="eastAsia" w:ascii="仿宋_GB2312" w:hAnsi="仿宋_GB2312" w:eastAsia="仿宋_GB2312" w:cs="仿宋_GB2312"/>
          <w:color w:val="auto"/>
          <w:szCs w:val="21"/>
        </w:rPr>
        <w:t>调查单位：</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 xml:space="preserve">     填表日期：</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年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lang w:val="en-US" w:eastAsia="zh-CN"/>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月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日</w:t>
      </w:r>
    </w:p>
    <w:p>
      <w:pPr>
        <w:adjustRightInd w:val="0"/>
        <w:spacing w:line="360" w:lineRule="exact"/>
        <w:rPr>
          <w:rFonts w:ascii="仿宋_GB2312" w:hAnsi="仿宋_GB2312" w:eastAsia="仿宋_GB2312" w:cs="仿宋_GB2312"/>
          <w:color w:val="auto"/>
          <w:szCs w:val="21"/>
        </w:rPr>
      </w:pPr>
    </w:p>
    <w:p>
      <w:pPr>
        <w:spacing w:line="360" w:lineRule="exact"/>
        <w:rPr>
          <w:rFonts w:hint="eastAsia"/>
          <w:color w:val="auto"/>
        </w:rPr>
      </w:pPr>
      <w:r>
        <w:rPr>
          <w:rFonts w:hint="eastAsia" w:ascii="仿宋_GB2312" w:hAnsi="仿宋_GB2312" w:eastAsia="仿宋_GB2312" w:cs="仿宋_GB2312"/>
          <w:color w:val="auto"/>
          <w:szCs w:val="21"/>
        </w:rPr>
        <w:t>填表人：</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rPr>
        <w:t xml:space="preserve">   </w:t>
      </w:r>
      <w:r>
        <w:rPr>
          <w:rFonts w:hint="eastAsia" w:ascii="仿宋_GB2312" w:hAnsi="仿宋_GB2312" w:eastAsia="仿宋_GB2312" w:cs="仿宋_GB2312"/>
          <w:color w:val="auto"/>
          <w:szCs w:val="21"/>
          <w:lang w:val="en-US" w:eastAsia="zh-CN"/>
        </w:rPr>
        <w:t xml:space="preserve"> </w:t>
      </w:r>
      <w:r>
        <w:rPr>
          <w:rFonts w:hint="eastAsia" w:ascii="仿宋_GB2312" w:hAnsi="仿宋_GB2312" w:eastAsia="仿宋_GB2312" w:cs="仿宋_GB2312"/>
          <w:color w:val="auto"/>
          <w:szCs w:val="21"/>
        </w:rPr>
        <w:t xml:space="preserve">  手机：</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lang w:val="en-US" w:eastAsia="zh-CN"/>
        </w:rPr>
        <w:t xml:space="preserve">  </w:t>
      </w:r>
      <w:r>
        <w:rPr>
          <w:rFonts w:hint="eastAsia" w:ascii="仿宋_GB2312" w:hAnsi="仿宋_GB2312" w:eastAsia="仿宋_GB2312" w:cs="仿宋_GB2312"/>
          <w:color w:val="auto"/>
          <w:szCs w:val="21"/>
          <w:u w:val="single"/>
        </w:rPr>
        <w:t xml:space="preserve">     </w:t>
      </w:r>
      <w:r>
        <w:rPr>
          <w:rFonts w:ascii="仿宋_GB2312" w:hAnsi="仿宋_GB2312" w:eastAsia="仿宋_GB2312" w:cs="仿宋_GB2312"/>
          <w:color w:val="auto"/>
          <w:szCs w:val="21"/>
          <w:u w:val="single"/>
        </w:rPr>
        <w:t xml:space="preserve">       </w:t>
      </w:r>
      <w:r>
        <w:rPr>
          <w:rFonts w:hint="eastAsia" w:ascii="仿宋_GB2312" w:hAnsi="仿宋_GB2312" w:eastAsia="仿宋_GB2312" w:cs="仿宋_GB2312"/>
          <w:color w:val="auto"/>
          <w:szCs w:val="21"/>
          <w:u w:val="single"/>
        </w:rPr>
        <w:t>（必填）</w:t>
      </w:r>
    </w:p>
    <w:p>
      <w:pPr>
        <w:widowControl/>
        <w:spacing w:line="460" w:lineRule="exact"/>
        <w:jc w:val="left"/>
        <w:rPr>
          <w:rFonts w:ascii="仿宋_GB2312" w:hAnsi="仿宋_GB2312" w:eastAsia="黑体" w:cs="仿宋_GB2312"/>
          <w:bCs/>
          <w:color w:val="auto"/>
        </w:rPr>
      </w:pPr>
    </w:p>
    <w:p>
      <w:pPr>
        <w:widowControl/>
        <w:spacing w:line="460" w:lineRule="exact"/>
        <w:jc w:val="left"/>
        <w:rPr>
          <w:rFonts w:ascii="仿宋_GB2312" w:hAnsi="仿宋_GB2312" w:eastAsia="黑体" w:cs="仿宋_GB2312"/>
          <w:bCs/>
          <w:color w:val="auto"/>
        </w:rPr>
        <w:sectPr>
          <w:footerReference r:id="rId5" w:type="default"/>
          <w:pgSz w:w="11906" w:h="16838"/>
          <w:pgMar w:top="1417" w:right="1474" w:bottom="1417" w:left="1588" w:header="851" w:footer="1531" w:gutter="0"/>
          <w:pgNumType w:fmt="numberInDash"/>
          <w:cols w:space="720" w:num="1"/>
          <w:docGrid w:type="lines" w:linePitch="318" w:charSpace="0"/>
        </w:sectPr>
      </w:pPr>
    </w:p>
    <w:p>
      <w:pPr>
        <w:pageBreakBefore/>
        <w:widowControl/>
        <w:jc w:val="left"/>
        <w:rPr>
          <w:rFonts w:ascii="仿宋_GB2312" w:hAnsi="仿宋_GB2312" w:eastAsia="黑体"/>
          <w:color w:val="auto"/>
          <w:sz w:val="32"/>
          <w:szCs w:val="32"/>
          <w:lang w:val="en-US"/>
        </w:rPr>
      </w:pPr>
      <w:r>
        <w:rPr>
          <w:rFonts w:hint="eastAsia" w:ascii="仿宋_GB2312" w:hAnsi="仿宋_GB2312" w:eastAsia="黑体"/>
          <w:color w:val="auto"/>
          <w:sz w:val="32"/>
          <w:szCs w:val="32"/>
        </w:rPr>
        <w:t>附表</w:t>
      </w:r>
      <w:r>
        <w:rPr>
          <w:rFonts w:hint="eastAsia" w:ascii="仿宋_GB2312" w:hAnsi="仿宋_GB2312" w:eastAsia="黑体"/>
          <w:color w:val="auto"/>
          <w:sz w:val="32"/>
          <w:szCs w:val="32"/>
          <w:lang w:val="en-US" w:eastAsia="zh-CN"/>
        </w:rPr>
        <w:t>3</w:t>
      </w:r>
    </w:p>
    <w:p>
      <w:pPr>
        <w:widowControl/>
        <w:spacing w:line="460" w:lineRule="exact"/>
        <w:ind w:firstLine="420" w:firstLineChars="200"/>
        <w:jc w:val="left"/>
        <w:rPr>
          <w:rFonts w:ascii="仿宋_GB2312" w:hAnsi="仿宋_GB2312" w:eastAsia="黑体" w:cs="仿宋_GB2312"/>
          <w:bCs/>
          <w:color w:val="auto"/>
        </w:rPr>
      </w:pPr>
    </w:p>
    <w:tbl>
      <w:tblPr>
        <w:tblStyle w:val="13"/>
        <w:tblW w:w="135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
        <w:gridCol w:w="482"/>
        <w:gridCol w:w="483"/>
        <w:gridCol w:w="883"/>
        <w:gridCol w:w="749"/>
        <w:gridCol w:w="482"/>
        <w:gridCol w:w="482"/>
        <w:gridCol w:w="882"/>
        <w:gridCol w:w="749"/>
        <w:gridCol w:w="749"/>
        <w:gridCol w:w="749"/>
        <w:gridCol w:w="1015"/>
        <w:gridCol w:w="836"/>
        <w:gridCol w:w="1606"/>
        <w:gridCol w:w="749"/>
        <w:gridCol w:w="749"/>
        <w:gridCol w:w="535"/>
        <w:gridCol w:w="214"/>
        <w:gridCol w:w="26"/>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89" w:type="dxa"/>
          <w:trHeight w:val="669" w:hRule="atLeast"/>
          <w:jc w:val="center"/>
        </w:trPr>
        <w:tc>
          <w:tcPr>
            <w:tcW w:w="12292" w:type="dxa"/>
            <w:gridSpan w:val="17"/>
            <w:tcBorders>
              <w:bottom w:val="single" w:color="auto" w:sz="4" w:space="0"/>
            </w:tcBorders>
            <w:vAlign w:val="center"/>
          </w:tcPr>
          <w:p>
            <w:pPr>
              <w:widowControl/>
              <w:jc w:val="center"/>
              <w:outlineLvl w:val="1"/>
              <w:rPr>
                <w:rFonts w:hint="eastAsia" w:ascii="仿宋_GB2312" w:hAnsi="仿宋_GB2312" w:eastAsia="仿宋_GB2312" w:cs="仿宋_GB2312"/>
                <w:b/>
                <w:bCs/>
                <w:color w:val="auto"/>
                <w:sz w:val="32"/>
                <w:szCs w:val="32"/>
              </w:rPr>
            </w:pPr>
            <w:r>
              <w:rPr>
                <w:rFonts w:hint="eastAsia" w:ascii="仿宋_GB2312" w:hAnsi="仿宋_GB2312" w:eastAsia="方正小标宋简体" w:cs="方正小标宋简体"/>
                <w:b w:val="0"/>
                <w:bCs/>
                <w:color w:val="auto"/>
                <w:sz w:val="32"/>
                <w:szCs w:val="32"/>
              </w:rPr>
              <w:t>过量受照人员登记表</w:t>
            </w:r>
          </w:p>
        </w:tc>
        <w:tc>
          <w:tcPr>
            <w:tcW w:w="240" w:type="dxa"/>
            <w:gridSpan w:val="2"/>
            <w:tcBorders>
              <w:bottom w:val="single" w:color="auto" w:sz="4" w:space="0"/>
            </w:tcBorders>
            <w:vAlign w:val="top"/>
          </w:tcPr>
          <w:p>
            <w:pPr>
              <w:widowControl/>
              <w:jc w:val="center"/>
              <w:outlineLvl w:val="1"/>
              <w:rPr>
                <w:rFonts w:hint="eastAsia" w:ascii="仿宋_GB2312" w:hAnsi="仿宋_GB2312" w:eastAsia="仿宋_GB2312" w:cs="仿宋_GB2312"/>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361" w:hRule="atLeast"/>
          <w:jc w:val="center"/>
        </w:trPr>
        <w:tc>
          <w:tcPr>
            <w:tcW w:w="482"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序号</w:t>
            </w:r>
          </w:p>
        </w:tc>
        <w:tc>
          <w:tcPr>
            <w:tcW w:w="483"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姓名</w:t>
            </w:r>
          </w:p>
        </w:tc>
        <w:tc>
          <w:tcPr>
            <w:tcW w:w="883"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身份证号码</w:t>
            </w:r>
          </w:p>
        </w:tc>
        <w:tc>
          <w:tcPr>
            <w:tcW w:w="749"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联系电话</w:t>
            </w:r>
          </w:p>
        </w:tc>
        <w:tc>
          <w:tcPr>
            <w:tcW w:w="482"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年龄</w:t>
            </w:r>
          </w:p>
        </w:tc>
        <w:tc>
          <w:tcPr>
            <w:tcW w:w="482"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性别</w:t>
            </w:r>
          </w:p>
        </w:tc>
        <w:tc>
          <w:tcPr>
            <w:tcW w:w="882"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受照时年龄</w:t>
            </w:r>
          </w:p>
        </w:tc>
        <w:tc>
          <w:tcPr>
            <w:tcW w:w="749"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工作单位</w:t>
            </w:r>
          </w:p>
        </w:tc>
        <w:tc>
          <w:tcPr>
            <w:tcW w:w="749"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家庭住址</w:t>
            </w:r>
          </w:p>
        </w:tc>
        <w:tc>
          <w:tcPr>
            <w:tcW w:w="749"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职业</w:t>
            </w:r>
          </w:p>
        </w:tc>
        <w:tc>
          <w:tcPr>
            <w:tcW w:w="1015"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具体职业类别</w:t>
            </w:r>
          </w:p>
        </w:tc>
        <w:tc>
          <w:tcPr>
            <w:tcW w:w="2442" w:type="dxa"/>
            <w:gridSpan w:val="2"/>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受照剂量</w:t>
            </w:r>
          </w:p>
        </w:tc>
        <w:tc>
          <w:tcPr>
            <w:tcW w:w="749"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生存状态</w:t>
            </w:r>
          </w:p>
        </w:tc>
        <w:tc>
          <w:tcPr>
            <w:tcW w:w="749" w:type="dxa"/>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受照类别</w:t>
            </w:r>
          </w:p>
        </w:tc>
        <w:tc>
          <w:tcPr>
            <w:tcW w:w="749" w:type="dxa"/>
            <w:gridSpan w:val="2"/>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受照原因</w:t>
            </w:r>
          </w:p>
        </w:tc>
        <w:tc>
          <w:tcPr>
            <w:tcW w:w="1015" w:type="dxa"/>
            <w:gridSpan w:val="2"/>
            <w:vMerge w:val="restart"/>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事故受照原因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361" w:hRule="atLeast"/>
          <w:jc w:val="center"/>
        </w:trPr>
        <w:tc>
          <w:tcPr>
            <w:tcW w:w="482" w:type="dxa"/>
            <w:vMerge w:val="continue"/>
            <w:vAlign w:val="center"/>
          </w:tcPr>
          <w:p>
            <w:pPr>
              <w:widowControl/>
              <w:jc w:val="left"/>
              <w:rPr>
                <w:rFonts w:hint="eastAsia" w:ascii="仿宋_GB2312" w:hAnsi="仿宋_GB2312" w:eastAsia="仿宋_GB2312" w:cs="仿宋_GB2312"/>
                <w:color w:val="auto"/>
                <w:kern w:val="0"/>
                <w:sz w:val="22"/>
              </w:rPr>
            </w:pPr>
          </w:p>
        </w:tc>
        <w:tc>
          <w:tcPr>
            <w:tcW w:w="483" w:type="dxa"/>
            <w:vMerge w:val="continue"/>
            <w:vAlign w:val="center"/>
          </w:tcPr>
          <w:p>
            <w:pPr>
              <w:widowControl/>
              <w:jc w:val="left"/>
              <w:rPr>
                <w:rFonts w:hint="eastAsia" w:ascii="仿宋_GB2312" w:hAnsi="仿宋_GB2312" w:eastAsia="仿宋_GB2312" w:cs="仿宋_GB2312"/>
                <w:color w:val="auto"/>
                <w:kern w:val="0"/>
                <w:sz w:val="22"/>
              </w:rPr>
            </w:pPr>
          </w:p>
        </w:tc>
        <w:tc>
          <w:tcPr>
            <w:tcW w:w="883" w:type="dxa"/>
            <w:vMerge w:val="continue"/>
            <w:vAlign w:val="center"/>
          </w:tcPr>
          <w:p>
            <w:pPr>
              <w:widowControl/>
              <w:jc w:val="left"/>
              <w:rPr>
                <w:rFonts w:hint="eastAsia" w:ascii="仿宋_GB2312" w:hAnsi="仿宋_GB2312" w:eastAsia="仿宋_GB2312" w:cs="仿宋_GB2312"/>
                <w:color w:val="auto"/>
                <w:kern w:val="0"/>
                <w:sz w:val="22"/>
              </w:rPr>
            </w:pPr>
          </w:p>
        </w:tc>
        <w:tc>
          <w:tcPr>
            <w:tcW w:w="749" w:type="dxa"/>
            <w:vMerge w:val="continue"/>
            <w:vAlign w:val="center"/>
          </w:tcPr>
          <w:p>
            <w:pPr>
              <w:widowControl/>
              <w:jc w:val="left"/>
              <w:rPr>
                <w:rFonts w:hint="eastAsia" w:ascii="仿宋_GB2312" w:hAnsi="仿宋_GB2312" w:eastAsia="仿宋_GB2312" w:cs="仿宋_GB2312"/>
                <w:color w:val="auto"/>
                <w:kern w:val="0"/>
                <w:sz w:val="22"/>
              </w:rPr>
            </w:pPr>
          </w:p>
        </w:tc>
        <w:tc>
          <w:tcPr>
            <w:tcW w:w="482" w:type="dxa"/>
            <w:vMerge w:val="continue"/>
            <w:vAlign w:val="center"/>
          </w:tcPr>
          <w:p>
            <w:pPr>
              <w:widowControl/>
              <w:jc w:val="left"/>
              <w:rPr>
                <w:rFonts w:hint="eastAsia" w:ascii="仿宋_GB2312" w:hAnsi="仿宋_GB2312" w:eastAsia="仿宋_GB2312" w:cs="仿宋_GB2312"/>
                <w:color w:val="auto"/>
                <w:kern w:val="0"/>
                <w:sz w:val="22"/>
              </w:rPr>
            </w:pPr>
          </w:p>
        </w:tc>
        <w:tc>
          <w:tcPr>
            <w:tcW w:w="482" w:type="dxa"/>
            <w:vMerge w:val="continue"/>
            <w:vAlign w:val="center"/>
          </w:tcPr>
          <w:p>
            <w:pPr>
              <w:widowControl/>
              <w:jc w:val="left"/>
              <w:rPr>
                <w:rFonts w:hint="eastAsia" w:ascii="仿宋_GB2312" w:hAnsi="仿宋_GB2312" w:eastAsia="仿宋_GB2312" w:cs="仿宋_GB2312"/>
                <w:color w:val="auto"/>
                <w:kern w:val="0"/>
                <w:sz w:val="22"/>
              </w:rPr>
            </w:pPr>
          </w:p>
        </w:tc>
        <w:tc>
          <w:tcPr>
            <w:tcW w:w="882" w:type="dxa"/>
            <w:vMerge w:val="continue"/>
            <w:vAlign w:val="center"/>
          </w:tcPr>
          <w:p>
            <w:pPr>
              <w:widowControl/>
              <w:jc w:val="left"/>
              <w:rPr>
                <w:rFonts w:hint="eastAsia" w:ascii="仿宋_GB2312" w:hAnsi="仿宋_GB2312" w:eastAsia="仿宋_GB2312" w:cs="仿宋_GB2312"/>
                <w:color w:val="auto"/>
                <w:kern w:val="0"/>
                <w:sz w:val="22"/>
              </w:rPr>
            </w:pPr>
          </w:p>
        </w:tc>
        <w:tc>
          <w:tcPr>
            <w:tcW w:w="749" w:type="dxa"/>
            <w:vMerge w:val="continue"/>
            <w:vAlign w:val="center"/>
          </w:tcPr>
          <w:p>
            <w:pPr>
              <w:widowControl/>
              <w:jc w:val="left"/>
              <w:rPr>
                <w:rFonts w:hint="eastAsia" w:ascii="仿宋_GB2312" w:hAnsi="仿宋_GB2312" w:eastAsia="仿宋_GB2312" w:cs="仿宋_GB2312"/>
                <w:color w:val="auto"/>
                <w:kern w:val="0"/>
                <w:sz w:val="22"/>
              </w:rPr>
            </w:pPr>
          </w:p>
        </w:tc>
        <w:tc>
          <w:tcPr>
            <w:tcW w:w="749" w:type="dxa"/>
            <w:vMerge w:val="continue"/>
            <w:vAlign w:val="center"/>
          </w:tcPr>
          <w:p>
            <w:pPr>
              <w:widowControl/>
              <w:jc w:val="left"/>
              <w:rPr>
                <w:rFonts w:hint="eastAsia" w:ascii="仿宋_GB2312" w:hAnsi="仿宋_GB2312" w:eastAsia="仿宋_GB2312" w:cs="仿宋_GB2312"/>
                <w:color w:val="auto"/>
                <w:kern w:val="0"/>
                <w:sz w:val="22"/>
              </w:rPr>
            </w:pPr>
          </w:p>
        </w:tc>
        <w:tc>
          <w:tcPr>
            <w:tcW w:w="749" w:type="dxa"/>
            <w:vMerge w:val="continue"/>
            <w:vAlign w:val="center"/>
          </w:tcPr>
          <w:p>
            <w:pPr>
              <w:widowControl/>
              <w:jc w:val="left"/>
              <w:rPr>
                <w:rFonts w:hint="eastAsia" w:ascii="仿宋_GB2312" w:hAnsi="仿宋_GB2312" w:eastAsia="仿宋_GB2312" w:cs="仿宋_GB2312"/>
                <w:color w:val="auto"/>
                <w:kern w:val="0"/>
                <w:sz w:val="22"/>
              </w:rPr>
            </w:pPr>
          </w:p>
        </w:tc>
        <w:tc>
          <w:tcPr>
            <w:tcW w:w="1015" w:type="dxa"/>
            <w:vMerge w:val="continue"/>
            <w:vAlign w:val="center"/>
          </w:tcPr>
          <w:p>
            <w:pPr>
              <w:widowControl/>
              <w:jc w:val="left"/>
              <w:rPr>
                <w:rFonts w:hint="eastAsia" w:ascii="仿宋_GB2312" w:hAnsi="仿宋_GB2312" w:eastAsia="仿宋_GB2312" w:cs="仿宋_GB2312"/>
                <w:color w:val="auto"/>
                <w:kern w:val="0"/>
                <w:sz w:val="22"/>
              </w:rPr>
            </w:pPr>
          </w:p>
        </w:tc>
        <w:tc>
          <w:tcPr>
            <w:tcW w:w="836"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部位</w:t>
            </w:r>
          </w:p>
        </w:tc>
        <w:tc>
          <w:tcPr>
            <w:tcW w:w="1606" w:type="dxa"/>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剂量（mSv）</w:t>
            </w:r>
          </w:p>
        </w:tc>
        <w:tc>
          <w:tcPr>
            <w:tcW w:w="749" w:type="dxa"/>
            <w:vMerge w:val="continue"/>
            <w:vAlign w:val="center"/>
          </w:tcPr>
          <w:p>
            <w:pPr>
              <w:widowControl/>
              <w:jc w:val="left"/>
              <w:rPr>
                <w:rFonts w:hint="eastAsia" w:ascii="仿宋_GB2312" w:hAnsi="仿宋_GB2312" w:eastAsia="仿宋_GB2312" w:cs="仿宋_GB2312"/>
                <w:color w:val="auto"/>
                <w:kern w:val="0"/>
                <w:sz w:val="22"/>
              </w:rPr>
            </w:pPr>
          </w:p>
        </w:tc>
        <w:tc>
          <w:tcPr>
            <w:tcW w:w="749" w:type="dxa"/>
            <w:vMerge w:val="continue"/>
            <w:vAlign w:val="center"/>
          </w:tcPr>
          <w:p>
            <w:pPr>
              <w:widowControl/>
              <w:jc w:val="left"/>
              <w:rPr>
                <w:rFonts w:hint="eastAsia" w:ascii="仿宋_GB2312" w:hAnsi="仿宋_GB2312" w:eastAsia="仿宋_GB2312" w:cs="仿宋_GB2312"/>
                <w:color w:val="auto"/>
                <w:kern w:val="0"/>
                <w:sz w:val="22"/>
              </w:rPr>
            </w:pPr>
          </w:p>
        </w:tc>
        <w:tc>
          <w:tcPr>
            <w:tcW w:w="749" w:type="dxa"/>
            <w:gridSpan w:val="2"/>
            <w:vMerge w:val="continue"/>
            <w:vAlign w:val="center"/>
          </w:tcPr>
          <w:p>
            <w:pPr>
              <w:widowControl/>
              <w:jc w:val="left"/>
              <w:rPr>
                <w:rFonts w:hint="eastAsia" w:ascii="仿宋_GB2312" w:hAnsi="仿宋_GB2312" w:eastAsia="仿宋_GB2312" w:cs="仿宋_GB2312"/>
                <w:color w:val="auto"/>
                <w:kern w:val="0"/>
                <w:sz w:val="22"/>
              </w:rPr>
            </w:pPr>
          </w:p>
        </w:tc>
        <w:tc>
          <w:tcPr>
            <w:tcW w:w="1015" w:type="dxa"/>
            <w:gridSpan w:val="2"/>
            <w:vMerge w:val="continue"/>
            <w:vAlign w:val="center"/>
          </w:tcPr>
          <w:p>
            <w:pPr>
              <w:widowControl/>
              <w:jc w:val="left"/>
              <w:rPr>
                <w:rFonts w:hint="eastAsia" w:ascii="仿宋_GB2312" w:hAnsi="仿宋_GB2312" w:eastAsia="仿宋_GB2312" w:cs="仿宋_GB2312"/>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_GB2312" w:hAnsi="仿宋_GB2312" w:eastAsia="仿宋_GB2312" w:cs="仿宋_GB2312"/>
                <w:color w:val="auto"/>
                <w:kern w:val="0"/>
                <w:sz w:val="22"/>
                <w:lang w:val="en-US" w:eastAsia="zh-CN"/>
              </w:rPr>
            </w:pPr>
          </w:p>
        </w:tc>
        <w:tc>
          <w:tcPr>
            <w:tcW w:w="483" w:type="dxa"/>
            <w:vAlign w:val="center"/>
          </w:tcPr>
          <w:p>
            <w:pPr>
              <w:widowControl/>
              <w:jc w:val="left"/>
              <w:rPr>
                <w:rFonts w:hint="eastAsia" w:ascii="仿宋_GB2312" w:hAnsi="仿宋_GB2312" w:eastAsia="仿宋_GB2312" w:cs="仿宋_GB2312"/>
                <w:color w:val="auto"/>
                <w:kern w:val="0"/>
                <w:sz w:val="20"/>
                <w:szCs w:val="20"/>
              </w:rPr>
            </w:pPr>
          </w:p>
        </w:tc>
        <w:tc>
          <w:tcPr>
            <w:tcW w:w="883" w:type="dxa"/>
            <w:vAlign w:val="center"/>
          </w:tcPr>
          <w:p>
            <w:pPr>
              <w:widowControl/>
              <w:jc w:val="left"/>
              <w:rPr>
                <w:rFonts w:hint="eastAsia" w:ascii="仿宋_GB2312" w:hAnsi="仿宋_GB2312" w:eastAsia="仿宋_GB2312" w:cs="仿宋_GB2312"/>
                <w:color w:val="auto"/>
                <w:kern w:val="0"/>
                <w:sz w:val="20"/>
                <w:szCs w:val="20"/>
              </w:rPr>
            </w:pPr>
          </w:p>
        </w:tc>
        <w:tc>
          <w:tcPr>
            <w:tcW w:w="749" w:type="dxa"/>
            <w:vAlign w:val="center"/>
          </w:tcPr>
          <w:p>
            <w:pPr>
              <w:widowControl/>
              <w:jc w:val="left"/>
              <w:rPr>
                <w:rFonts w:hint="eastAsia" w:ascii="仿宋_GB2312" w:hAnsi="仿宋_GB2312" w:eastAsia="仿宋_GB2312" w:cs="仿宋_GB2312"/>
                <w:color w:val="auto"/>
                <w:kern w:val="0"/>
                <w:sz w:val="20"/>
                <w:szCs w:val="20"/>
              </w:rPr>
            </w:pPr>
          </w:p>
        </w:tc>
        <w:tc>
          <w:tcPr>
            <w:tcW w:w="482" w:type="dxa"/>
            <w:vAlign w:val="center"/>
          </w:tcPr>
          <w:p>
            <w:pPr>
              <w:widowControl/>
              <w:jc w:val="left"/>
              <w:rPr>
                <w:rFonts w:hint="eastAsia" w:ascii="仿宋_GB2312" w:hAnsi="仿宋_GB2312" w:eastAsia="仿宋_GB2312" w:cs="仿宋_GB2312"/>
                <w:color w:val="auto"/>
                <w:kern w:val="0"/>
                <w:sz w:val="20"/>
                <w:szCs w:val="20"/>
              </w:rPr>
            </w:pPr>
          </w:p>
        </w:tc>
        <w:tc>
          <w:tcPr>
            <w:tcW w:w="482" w:type="dxa"/>
            <w:vAlign w:val="center"/>
          </w:tcPr>
          <w:p>
            <w:pPr>
              <w:widowControl/>
              <w:jc w:val="left"/>
              <w:rPr>
                <w:rFonts w:hint="eastAsia" w:ascii="仿宋_GB2312" w:hAnsi="仿宋_GB2312" w:eastAsia="仿宋_GB2312" w:cs="仿宋_GB2312"/>
                <w:color w:val="auto"/>
                <w:kern w:val="0"/>
                <w:sz w:val="20"/>
                <w:szCs w:val="20"/>
              </w:rPr>
            </w:pPr>
          </w:p>
        </w:tc>
        <w:tc>
          <w:tcPr>
            <w:tcW w:w="882" w:type="dxa"/>
            <w:vAlign w:val="center"/>
          </w:tcPr>
          <w:p>
            <w:pPr>
              <w:widowControl/>
              <w:jc w:val="left"/>
              <w:rPr>
                <w:rFonts w:hint="eastAsia" w:ascii="仿宋_GB2312" w:hAnsi="仿宋_GB2312" w:eastAsia="仿宋_GB2312" w:cs="仿宋_GB2312"/>
                <w:color w:val="auto"/>
                <w:kern w:val="0"/>
                <w:sz w:val="20"/>
                <w:szCs w:val="20"/>
              </w:rPr>
            </w:pPr>
          </w:p>
        </w:tc>
        <w:tc>
          <w:tcPr>
            <w:tcW w:w="749" w:type="dxa"/>
            <w:vAlign w:val="center"/>
          </w:tcPr>
          <w:p>
            <w:pPr>
              <w:widowControl/>
              <w:jc w:val="left"/>
              <w:rPr>
                <w:rFonts w:hint="eastAsia" w:ascii="仿宋_GB2312" w:hAnsi="仿宋_GB2312" w:eastAsia="仿宋_GB2312" w:cs="仿宋_GB2312"/>
                <w:color w:val="auto"/>
                <w:kern w:val="0"/>
                <w:sz w:val="20"/>
                <w:szCs w:val="20"/>
              </w:rPr>
            </w:pPr>
          </w:p>
        </w:tc>
        <w:tc>
          <w:tcPr>
            <w:tcW w:w="749" w:type="dxa"/>
            <w:vAlign w:val="center"/>
          </w:tcPr>
          <w:p>
            <w:pPr>
              <w:widowControl/>
              <w:jc w:val="left"/>
              <w:rPr>
                <w:rFonts w:hint="eastAsia" w:ascii="仿宋_GB2312" w:hAnsi="仿宋_GB2312" w:eastAsia="仿宋_GB2312" w:cs="仿宋_GB2312"/>
                <w:color w:val="auto"/>
                <w:kern w:val="0"/>
                <w:sz w:val="20"/>
                <w:szCs w:val="20"/>
              </w:rPr>
            </w:pPr>
          </w:p>
        </w:tc>
        <w:tc>
          <w:tcPr>
            <w:tcW w:w="749" w:type="dxa"/>
            <w:vAlign w:val="center"/>
          </w:tcPr>
          <w:p>
            <w:pPr>
              <w:widowControl/>
              <w:jc w:val="left"/>
              <w:rPr>
                <w:rFonts w:hint="eastAsia" w:ascii="仿宋_GB2312" w:hAnsi="仿宋_GB2312" w:eastAsia="仿宋_GB2312" w:cs="仿宋_GB2312"/>
                <w:color w:val="auto"/>
                <w:kern w:val="0"/>
                <w:sz w:val="20"/>
                <w:szCs w:val="20"/>
              </w:rPr>
            </w:pPr>
          </w:p>
        </w:tc>
        <w:tc>
          <w:tcPr>
            <w:tcW w:w="1015" w:type="dxa"/>
            <w:vAlign w:val="center"/>
          </w:tcPr>
          <w:p>
            <w:pPr>
              <w:widowControl/>
              <w:jc w:val="left"/>
              <w:rPr>
                <w:rFonts w:hint="eastAsia" w:ascii="仿宋_GB2312" w:hAnsi="仿宋_GB2312" w:eastAsia="仿宋_GB2312" w:cs="仿宋_GB2312"/>
                <w:color w:val="auto"/>
                <w:kern w:val="0"/>
                <w:sz w:val="20"/>
                <w:szCs w:val="20"/>
              </w:rPr>
            </w:pPr>
          </w:p>
        </w:tc>
        <w:tc>
          <w:tcPr>
            <w:tcW w:w="836" w:type="dxa"/>
            <w:vAlign w:val="center"/>
          </w:tcPr>
          <w:p>
            <w:pPr>
              <w:widowControl/>
              <w:jc w:val="left"/>
              <w:rPr>
                <w:rFonts w:hint="eastAsia" w:ascii="仿宋_GB2312" w:hAnsi="仿宋_GB2312" w:eastAsia="仿宋_GB2312" w:cs="仿宋_GB2312"/>
                <w:color w:val="auto"/>
                <w:kern w:val="0"/>
                <w:sz w:val="20"/>
                <w:szCs w:val="20"/>
              </w:rPr>
            </w:pPr>
          </w:p>
        </w:tc>
        <w:tc>
          <w:tcPr>
            <w:tcW w:w="1606" w:type="dxa"/>
            <w:vAlign w:val="center"/>
          </w:tcPr>
          <w:p>
            <w:pPr>
              <w:widowControl/>
              <w:jc w:val="left"/>
              <w:rPr>
                <w:rFonts w:hint="eastAsia" w:ascii="仿宋_GB2312" w:hAnsi="仿宋_GB2312" w:eastAsia="仿宋_GB2312" w:cs="仿宋_GB2312"/>
                <w:color w:val="auto"/>
                <w:kern w:val="0"/>
                <w:sz w:val="20"/>
                <w:szCs w:val="20"/>
              </w:rPr>
            </w:pPr>
          </w:p>
        </w:tc>
        <w:tc>
          <w:tcPr>
            <w:tcW w:w="749" w:type="dxa"/>
            <w:vAlign w:val="center"/>
          </w:tcPr>
          <w:p>
            <w:pPr>
              <w:widowControl/>
              <w:jc w:val="left"/>
              <w:rPr>
                <w:rFonts w:hint="eastAsia" w:ascii="仿宋_GB2312" w:hAnsi="仿宋_GB2312" w:eastAsia="仿宋_GB2312" w:cs="仿宋_GB2312"/>
                <w:color w:val="auto"/>
                <w:kern w:val="0"/>
                <w:sz w:val="20"/>
                <w:szCs w:val="20"/>
              </w:rPr>
            </w:pPr>
          </w:p>
        </w:tc>
        <w:tc>
          <w:tcPr>
            <w:tcW w:w="749" w:type="dxa"/>
            <w:vAlign w:val="center"/>
          </w:tcPr>
          <w:p>
            <w:pPr>
              <w:widowControl/>
              <w:jc w:val="left"/>
              <w:rPr>
                <w:rFonts w:hint="eastAsia" w:ascii="仿宋_GB2312" w:hAnsi="仿宋_GB2312" w:eastAsia="仿宋_GB2312" w:cs="仿宋_GB2312"/>
                <w:color w:val="auto"/>
                <w:kern w:val="0"/>
                <w:sz w:val="20"/>
                <w:szCs w:val="20"/>
              </w:rPr>
            </w:pPr>
          </w:p>
        </w:tc>
        <w:tc>
          <w:tcPr>
            <w:tcW w:w="749" w:type="dxa"/>
            <w:gridSpan w:val="2"/>
            <w:vAlign w:val="center"/>
          </w:tcPr>
          <w:p>
            <w:pPr>
              <w:widowControl/>
              <w:jc w:val="left"/>
              <w:rPr>
                <w:rFonts w:hint="eastAsia" w:ascii="仿宋_GB2312" w:hAnsi="仿宋_GB2312" w:eastAsia="仿宋_GB2312" w:cs="仿宋_GB2312"/>
                <w:color w:val="auto"/>
                <w:kern w:val="0"/>
                <w:sz w:val="20"/>
                <w:szCs w:val="20"/>
              </w:rPr>
            </w:pPr>
          </w:p>
        </w:tc>
        <w:tc>
          <w:tcPr>
            <w:tcW w:w="1015" w:type="dxa"/>
            <w:gridSpan w:val="2"/>
            <w:vAlign w:val="center"/>
          </w:tcPr>
          <w:p>
            <w:pPr>
              <w:widowControl/>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1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12" w:type="dxa"/>
          <w:trHeight w:val="720" w:hRule="atLeast"/>
          <w:jc w:val="center"/>
        </w:trPr>
        <w:tc>
          <w:tcPr>
            <w:tcW w:w="482" w:type="dxa"/>
            <w:vAlign w:val="center"/>
          </w:tcPr>
          <w:p>
            <w:pPr>
              <w:widowControl/>
              <w:jc w:val="left"/>
              <w:rPr>
                <w:rFonts w:hint="eastAsia" w:ascii="仿宋" w:hAnsi="仿宋" w:eastAsia="仿宋" w:cs="仿宋"/>
                <w:color w:val="auto"/>
                <w:kern w:val="0"/>
                <w:sz w:val="22"/>
              </w:rPr>
            </w:pPr>
          </w:p>
        </w:tc>
        <w:tc>
          <w:tcPr>
            <w:tcW w:w="483" w:type="dxa"/>
            <w:vAlign w:val="center"/>
          </w:tcPr>
          <w:p>
            <w:pPr>
              <w:widowControl/>
              <w:jc w:val="left"/>
              <w:rPr>
                <w:rFonts w:hint="eastAsia" w:ascii="仿宋" w:hAnsi="仿宋" w:eastAsia="仿宋" w:cs="仿宋"/>
                <w:color w:val="auto"/>
                <w:kern w:val="0"/>
                <w:sz w:val="20"/>
                <w:szCs w:val="20"/>
              </w:rPr>
            </w:pPr>
          </w:p>
        </w:tc>
        <w:tc>
          <w:tcPr>
            <w:tcW w:w="883"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482" w:type="dxa"/>
            <w:vAlign w:val="center"/>
          </w:tcPr>
          <w:p>
            <w:pPr>
              <w:widowControl/>
              <w:jc w:val="left"/>
              <w:rPr>
                <w:rFonts w:hint="eastAsia" w:ascii="仿宋" w:hAnsi="仿宋" w:eastAsia="仿宋" w:cs="仿宋"/>
                <w:color w:val="auto"/>
                <w:kern w:val="0"/>
                <w:sz w:val="20"/>
                <w:szCs w:val="20"/>
              </w:rPr>
            </w:pPr>
          </w:p>
        </w:tc>
        <w:tc>
          <w:tcPr>
            <w:tcW w:w="882"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1015" w:type="dxa"/>
            <w:vAlign w:val="center"/>
          </w:tcPr>
          <w:p>
            <w:pPr>
              <w:widowControl/>
              <w:jc w:val="left"/>
              <w:rPr>
                <w:rFonts w:hint="eastAsia" w:ascii="仿宋" w:hAnsi="仿宋" w:eastAsia="仿宋" w:cs="仿宋"/>
                <w:color w:val="auto"/>
                <w:kern w:val="0"/>
                <w:sz w:val="20"/>
                <w:szCs w:val="20"/>
              </w:rPr>
            </w:pPr>
          </w:p>
        </w:tc>
        <w:tc>
          <w:tcPr>
            <w:tcW w:w="836" w:type="dxa"/>
            <w:vAlign w:val="center"/>
          </w:tcPr>
          <w:p>
            <w:pPr>
              <w:widowControl/>
              <w:jc w:val="left"/>
              <w:rPr>
                <w:rFonts w:hint="eastAsia" w:ascii="仿宋" w:hAnsi="仿宋" w:eastAsia="仿宋" w:cs="仿宋"/>
                <w:color w:val="auto"/>
                <w:kern w:val="0"/>
                <w:sz w:val="20"/>
                <w:szCs w:val="20"/>
              </w:rPr>
            </w:pPr>
          </w:p>
        </w:tc>
        <w:tc>
          <w:tcPr>
            <w:tcW w:w="1606"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vAlign w:val="center"/>
          </w:tcPr>
          <w:p>
            <w:pPr>
              <w:widowControl/>
              <w:jc w:val="left"/>
              <w:rPr>
                <w:rFonts w:hint="eastAsia" w:ascii="仿宋" w:hAnsi="仿宋" w:eastAsia="仿宋" w:cs="仿宋"/>
                <w:color w:val="auto"/>
                <w:kern w:val="0"/>
                <w:sz w:val="20"/>
                <w:szCs w:val="20"/>
              </w:rPr>
            </w:pPr>
          </w:p>
        </w:tc>
        <w:tc>
          <w:tcPr>
            <w:tcW w:w="749" w:type="dxa"/>
            <w:gridSpan w:val="2"/>
            <w:vAlign w:val="center"/>
          </w:tcPr>
          <w:p>
            <w:pPr>
              <w:widowControl/>
              <w:jc w:val="left"/>
              <w:rPr>
                <w:rFonts w:hint="eastAsia" w:ascii="仿宋" w:hAnsi="仿宋" w:eastAsia="仿宋" w:cs="仿宋"/>
                <w:color w:val="auto"/>
                <w:kern w:val="0"/>
                <w:sz w:val="20"/>
                <w:szCs w:val="20"/>
              </w:rPr>
            </w:pPr>
          </w:p>
        </w:tc>
        <w:tc>
          <w:tcPr>
            <w:tcW w:w="1015" w:type="dxa"/>
            <w:gridSpan w:val="2"/>
            <w:vAlign w:val="center"/>
          </w:tcPr>
          <w:p>
            <w:pPr>
              <w:widowControl/>
              <w:jc w:val="left"/>
              <w:rPr>
                <w:rFonts w:hint="eastAsia" w:ascii="仿宋" w:hAnsi="仿宋" w:eastAsia="仿宋" w:cs="仿宋"/>
                <w:color w:val="auto"/>
                <w:kern w:val="0"/>
                <w:sz w:val="20"/>
                <w:szCs w:val="20"/>
              </w:rPr>
            </w:pPr>
          </w:p>
        </w:tc>
      </w:tr>
    </w:tbl>
    <w:p>
      <w:pPr>
        <w:pStyle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注：过量受照人员登记信息请按照提供的Excel数据库进行汇总（部分条目有下拉菜单选项）</w:t>
      </w:r>
    </w:p>
    <w:p>
      <w:pPr>
        <w:pStyle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pageBreakBefore/>
        <w:widowControl/>
        <w:jc w:val="left"/>
        <w:rPr>
          <w:rFonts w:ascii="仿宋_GB2312" w:hAnsi="仿宋_GB2312" w:eastAsia="黑体"/>
          <w:color w:val="auto"/>
          <w:sz w:val="32"/>
          <w:szCs w:val="32"/>
          <w:lang w:val="en-US"/>
        </w:rPr>
      </w:pPr>
      <w:r>
        <w:rPr>
          <w:rFonts w:hint="eastAsia" w:ascii="仿宋_GB2312" w:hAnsi="仿宋_GB2312" w:eastAsia="黑体"/>
          <w:color w:val="auto"/>
          <w:sz w:val="32"/>
          <w:szCs w:val="32"/>
        </w:rPr>
        <w:t>附表</w:t>
      </w:r>
      <w:r>
        <w:rPr>
          <w:rFonts w:hint="eastAsia" w:ascii="仿宋_GB2312" w:hAnsi="仿宋_GB2312" w:eastAsia="黑体"/>
          <w:color w:val="auto"/>
          <w:sz w:val="32"/>
          <w:szCs w:val="32"/>
          <w:lang w:val="en-US" w:eastAsia="zh-CN"/>
        </w:rPr>
        <w:t>4</w:t>
      </w:r>
    </w:p>
    <w:p>
      <w:pPr>
        <w:pStyle w:val="3"/>
        <w:spacing w:before="156" w:beforeLines="50" w:after="156" w:afterLines="5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b w:val="0"/>
          <w:color w:val="auto"/>
          <w:kern w:val="2"/>
          <w:sz w:val="32"/>
          <w:szCs w:val="32"/>
          <w:lang w:eastAsia="zh-CN"/>
        </w:rPr>
        <w:t>核医学工作人员监测-医院基本情况调查表</w:t>
      </w:r>
    </w:p>
    <w:tbl>
      <w:tblPr>
        <w:tblStyle w:val="14"/>
        <w:tblW w:w="14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704"/>
        <w:gridCol w:w="703"/>
        <w:gridCol w:w="704"/>
        <w:gridCol w:w="703"/>
        <w:gridCol w:w="704"/>
        <w:gridCol w:w="1139"/>
        <w:gridCol w:w="992"/>
        <w:gridCol w:w="1194"/>
        <w:gridCol w:w="1223"/>
        <w:gridCol w:w="825"/>
        <w:gridCol w:w="1083"/>
        <w:gridCol w:w="792"/>
        <w:gridCol w:w="1942"/>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436"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序号</w:t>
            </w:r>
          </w:p>
        </w:tc>
        <w:tc>
          <w:tcPr>
            <w:tcW w:w="704"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医院名称</w:t>
            </w:r>
          </w:p>
        </w:tc>
        <w:tc>
          <w:tcPr>
            <w:tcW w:w="703" w:type="dxa"/>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医院性质</w:t>
            </w:r>
          </w:p>
        </w:tc>
        <w:tc>
          <w:tcPr>
            <w:tcW w:w="704"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医院级别</w:t>
            </w:r>
          </w:p>
        </w:tc>
        <w:tc>
          <w:tcPr>
            <w:tcW w:w="703"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医院所在省</w:t>
            </w:r>
          </w:p>
        </w:tc>
        <w:tc>
          <w:tcPr>
            <w:tcW w:w="704"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医院所在市</w:t>
            </w:r>
          </w:p>
        </w:tc>
        <w:tc>
          <w:tcPr>
            <w:tcW w:w="1139" w:type="dxa"/>
            <w:vAlign w:val="center"/>
          </w:tcPr>
          <w:p>
            <w:pPr>
              <w:widowControl/>
              <w:ind w:right="34" w:rightChars="16" w:firstLine="136" w:firstLineChars="57"/>
              <w:jc w:val="center"/>
              <w:rPr>
                <w:rFonts w:hint="eastAsia" w:ascii="仿宋" w:hAnsi="仿宋" w:eastAsia="仿宋" w:cs="仿宋"/>
                <w:color w:val="auto"/>
                <w:sz w:val="24"/>
              </w:rPr>
            </w:pPr>
            <w:r>
              <w:rPr>
                <w:rFonts w:hint="eastAsia" w:ascii="仿宋" w:hAnsi="仿宋" w:eastAsia="仿宋" w:cs="仿宋"/>
                <w:color w:val="auto"/>
                <w:sz w:val="24"/>
              </w:rPr>
              <w:t>是否开展</w:t>
            </w:r>
            <w:bookmarkStart w:id="1" w:name="OLE_LINK20"/>
            <w:r>
              <w:rPr>
                <w:rFonts w:hint="eastAsia" w:ascii="仿宋" w:hAnsi="仿宋" w:eastAsia="仿宋" w:cs="仿宋"/>
                <w:color w:val="auto"/>
                <w:sz w:val="24"/>
              </w:rPr>
              <w:t>碘-131治疗</w:t>
            </w:r>
            <w:bookmarkEnd w:id="1"/>
          </w:p>
        </w:tc>
        <w:tc>
          <w:tcPr>
            <w:tcW w:w="992" w:type="dxa"/>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是否使用碘-131治疗甲癌患者</w:t>
            </w:r>
          </w:p>
        </w:tc>
        <w:tc>
          <w:tcPr>
            <w:tcW w:w="1194" w:type="dxa"/>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上一年度碘-131购买量（居里）</w:t>
            </w:r>
          </w:p>
        </w:tc>
        <w:tc>
          <w:tcPr>
            <w:tcW w:w="1223"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哪一年开始使用碘-131自动分装仪</w:t>
            </w:r>
          </w:p>
        </w:tc>
        <w:tc>
          <w:tcPr>
            <w:tcW w:w="825" w:type="dxa"/>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是否配备表面污染仪</w:t>
            </w:r>
          </w:p>
        </w:tc>
        <w:tc>
          <w:tcPr>
            <w:tcW w:w="1083" w:type="dxa"/>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核医学工作人员数量</w:t>
            </w:r>
            <w:r>
              <w:rPr>
                <w:rFonts w:hint="eastAsia" w:ascii="仿宋" w:hAnsi="仿宋" w:eastAsia="仿宋" w:cs="仿宋"/>
                <w:color w:val="auto"/>
                <w:sz w:val="24"/>
                <w:vertAlign w:val="superscript"/>
              </w:rPr>
              <w:t>*</w:t>
            </w:r>
          </w:p>
        </w:tc>
        <w:tc>
          <w:tcPr>
            <w:tcW w:w="792"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其中合同工数量</w:t>
            </w:r>
          </w:p>
        </w:tc>
        <w:tc>
          <w:tcPr>
            <w:tcW w:w="1942" w:type="dxa"/>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参与操作（分装和给药）碘-131的工作人员数</w:t>
            </w:r>
          </w:p>
        </w:tc>
        <w:tc>
          <w:tcPr>
            <w:tcW w:w="1254" w:type="dxa"/>
            <w:vAlign w:val="center"/>
          </w:tcPr>
          <w:p>
            <w:pPr>
              <w:widowControl/>
              <w:jc w:val="center"/>
              <w:rPr>
                <w:rFonts w:hint="eastAsia" w:ascii="仿宋" w:hAnsi="仿宋" w:eastAsia="仿宋" w:cs="仿宋"/>
                <w:color w:val="auto"/>
                <w:sz w:val="24"/>
                <w:szCs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436"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703"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703"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1139" w:type="dxa"/>
            <w:vAlign w:val="center"/>
          </w:tcPr>
          <w:p>
            <w:pPr>
              <w:widowControl/>
              <w:jc w:val="center"/>
              <w:rPr>
                <w:rFonts w:hint="eastAsia" w:ascii="仿宋" w:hAnsi="仿宋" w:eastAsia="仿宋" w:cs="仿宋"/>
                <w:color w:val="auto"/>
                <w:sz w:val="24"/>
                <w:szCs w:val="24"/>
              </w:rPr>
            </w:pPr>
          </w:p>
        </w:tc>
        <w:tc>
          <w:tcPr>
            <w:tcW w:w="992" w:type="dxa"/>
            <w:vAlign w:val="center"/>
          </w:tcPr>
          <w:p>
            <w:pPr>
              <w:widowControl/>
              <w:jc w:val="center"/>
              <w:rPr>
                <w:rFonts w:hint="eastAsia" w:ascii="仿宋" w:hAnsi="仿宋" w:eastAsia="仿宋" w:cs="仿宋"/>
                <w:color w:val="auto"/>
                <w:sz w:val="24"/>
                <w:szCs w:val="24"/>
              </w:rPr>
            </w:pPr>
          </w:p>
        </w:tc>
        <w:tc>
          <w:tcPr>
            <w:tcW w:w="1194" w:type="dxa"/>
            <w:vAlign w:val="center"/>
          </w:tcPr>
          <w:p>
            <w:pPr>
              <w:widowControl/>
              <w:jc w:val="center"/>
              <w:rPr>
                <w:rFonts w:hint="eastAsia" w:ascii="仿宋" w:hAnsi="仿宋" w:eastAsia="仿宋" w:cs="仿宋"/>
                <w:color w:val="auto"/>
                <w:sz w:val="24"/>
                <w:szCs w:val="24"/>
              </w:rPr>
            </w:pPr>
          </w:p>
        </w:tc>
        <w:tc>
          <w:tcPr>
            <w:tcW w:w="1223" w:type="dxa"/>
            <w:vAlign w:val="center"/>
          </w:tcPr>
          <w:p>
            <w:pPr>
              <w:widowControl/>
              <w:jc w:val="center"/>
              <w:rPr>
                <w:rFonts w:hint="eastAsia" w:ascii="仿宋" w:hAnsi="仿宋" w:eastAsia="仿宋" w:cs="仿宋"/>
                <w:color w:val="auto"/>
                <w:sz w:val="24"/>
                <w:szCs w:val="24"/>
              </w:rPr>
            </w:pPr>
          </w:p>
        </w:tc>
        <w:tc>
          <w:tcPr>
            <w:tcW w:w="825" w:type="dxa"/>
            <w:vAlign w:val="center"/>
          </w:tcPr>
          <w:p>
            <w:pPr>
              <w:widowControl/>
              <w:jc w:val="center"/>
              <w:rPr>
                <w:rFonts w:hint="eastAsia" w:ascii="仿宋" w:hAnsi="仿宋" w:eastAsia="仿宋" w:cs="仿宋"/>
                <w:color w:val="auto"/>
                <w:sz w:val="24"/>
                <w:szCs w:val="24"/>
              </w:rPr>
            </w:pPr>
          </w:p>
        </w:tc>
        <w:tc>
          <w:tcPr>
            <w:tcW w:w="1083" w:type="dxa"/>
            <w:vAlign w:val="center"/>
          </w:tcPr>
          <w:p>
            <w:pPr>
              <w:widowControl/>
              <w:jc w:val="center"/>
              <w:rPr>
                <w:rFonts w:hint="eastAsia" w:ascii="仿宋" w:hAnsi="仿宋" w:eastAsia="仿宋" w:cs="仿宋"/>
                <w:color w:val="auto"/>
                <w:sz w:val="24"/>
                <w:szCs w:val="24"/>
              </w:rPr>
            </w:pPr>
          </w:p>
        </w:tc>
        <w:tc>
          <w:tcPr>
            <w:tcW w:w="792" w:type="dxa"/>
            <w:vAlign w:val="center"/>
          </w:tcPr>
          <w:p>
            <w:pPr>
              <w:widowControl/>
              <w:jc w:val="center"/>
              <w:rPr>
                <w:rFonts w:hint="eastAsia" w:ascii="仿宋" w:hAnsi="仿宋" w:eastAsia="仿宋" w:cs="仿宋"/>
                <w:color w:val="auto"/>
                <w:sz w:val="24"/>
                <w:szCs w:val="24"/>
              </w:rPr>
            </w:pPr>
          </w:p>
        </w:tc>
        <w:tc>
          <w:tcPr>
            <w:tcW w:w="1942" w:type="dxa"/>
            <w:vAlign w:val="center"/>
          </w:tcPr>
          <w:p>
            <w:pPr>
              <w:widowControl/>
              <w:jc w:val="center"/>
              <w:rPr>
                <w:rFonts w:hint="eastAsia" w:ascii="仿宋" w:hAnsi="仿宋" w:eastAsia="仿宋" w:cs="仿宋"/>
                <w:color w:val="auto"/>
                <w:sz w:val="24"/>
                <w:szCs w:val="24"/>
              </w:rPr>
            </w:pPr>
          </w:p>
        </w:tc>
        <w:tc>
          <w:tcPr>
            <w:tcW w:w="1254" w:type="dxa"/>
            <w:vAlign w:val="center"/>
          </w:tcPr>
          <w:p>
            <w:pPr>
              <w:widowControl/>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436"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703"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703"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1139" w:type="dxa"/>
            <w:vAlign w:val="center"/>
          </w:tcPr>
          <w:p>
            <w:pPr>
              <w:widowControl/>
              <w:jc w:val="center"/>
              <w:rPr>
                <w:rFonts w:hint="eastAsia" w:ascii="仿宋" w:hAnsi="仿宋" w:eastAsia="仿宋" w:cs="仿宋"/>
                <w:color w:val="auto"/>
                <w:sz w:val="24"/>
                <w:szCs w:val="24"/>
              </w:rPr>
            </w:pPr>
          </w:p>
        </w:tc>
        <w:tc>
          <w:tcPr>
            <w:tcW w:w="992" w:type="dxa"/>
            <w:vAlign w:val="center"/>
          </w:tcPr>
          <w:p>
            <w:pPr>
              <w:widowControl/>
              <w:jc w:val="center"/>
              <w:rPr>
                <w:rFonts w:hint="eastAsia" w:ascii="仿宋" w:hAnsi="仿宋" w:eastAsia="仿宋" w:cs="仿宋"/>
                <w:color w:val="auto"/>
                <w:sz w:val="24"/>
                <w:szCs w:val="24"/>
              </w:rPr>
            </w:pPr>
          </w:p>
        </w:tc>
        <w:tc>
          <w:tcPr>
            <w:tcW w:w="1194" w:type="dxa"/>
            <w:vAlign w:val="center"/>
          </w:tcPr>
          <w:p>
            <w:pPr>
              <w:widowControl/>
              <w:jc w:val="center"/>
              <w:rPr>
                <w:rFonts w:hint="eastAsia" w:ascii="仿宋" w:hAnsi="仿宋" w:eastAsia="仿宋" w:cs="仿宋"/>
                <w:color w:val="auto"/>
                <w:sz w:val="24"/>
                <w:szCs w:val="24"/>
              </w:rPr>
            </w:pPr>
          </w:p>
        </w:tc>
        <w:tc>
          <w:tcPr>
            <w:tcW w:w="1223" w:type="dxa"/>
            <w:vAlign w:val="center"/>
          </w:tcPr>
          <w:p>
            <w:pPr>
              <w:widowControl/>
              <w:jc w:val="center"/>
              <w:rPr>
                <w:rFonts w:hint="eastAsia" w:ascii="仿宋" w:hAnsi="仿宋" w:eastAsia="仿宋" w:cs="仿宋"/>
                <w:color w:val="auto"/>
                <w:sz w:val="24"/>
                <w:szCs w:val="24"/>
              </w:rPr>
            </w:pPr>
          </w:p>
        </w:tc>
        <w:tc>
          <w:tcPr>
            <w:tcW w:w="825" w:type="dxa"/>
            <w:vAlign w:val="center"/>
          </w:tcPr>
          <w:p>
            <w:pPr>
              <w:widowControl/>
              <w:jc w:val="center"/>
              <w:rPr>
                <w:rFonts w:hint="eastAsia" w:ascii="仿宋" w:hAnsi="仿宋" w:eastAsia="仿宋" w:cs="仿宋"/>
                <w:color w:val="auto"/>
                <w:sz w:val="24"/>
                <w:szCs w:val="24"/>
              </w:rPr>
            </w:pPr>
          </w:p>
        </w:tc>
        <w:tc>
          <w:tcPr>
            <w:tcW w:w="1083" w:type="dxa"/>
            <w:vAlign w:val="center"/>
          </w:tcPr>
          <w:p>
            <w:pPr>
              <w:widowControl/>
              <w:jc w:val="center"/>
              <w:rPr>
                <w:rFonts w:hint="eastAsia" w:ascii="仿宋" w:hAnsi="仿宋" w:eastAsia="仿宋" w:cs="仿宋"/>
                <w:color w:val="auto"/>
                <w:sz w:val="24"/>
                <w:szCs w:val="24"/>
              </w:rPr>
            </w:pPr>
          </w:p>
        </w:tc>
        <w:tc>
          <w:tcPr>
            <w:tcW w:w="792" w:type="dxa"/>
            <w:vAlign w:val="center"/>
          </w:tcPr>
          <w:p>
            <w:pPr>
              <w:widowControl/>
              <w:jc w:val="center"/>
              <w:rPr>
                <w:rFonts w:hint="eastAsia" w:ascii="仿宋" w:hAnsi="仿宋" w:eastAsia="仿宋" w:cs="仿宋"/>
                <w:color w:val="auto"/>
                <w:sz w:val="24"/>
                <w:szCs w:val="24"/>
              </w:rPr>
            </w:pPr>
          </w:p>
        </w:tc>
        <w:tc>
          <w:tcPr>
            <w:tcW w:w="1942" w:type="dxa"/>
            <w:vAlign w:val="center"/>
          </w:tcPr>
          <w:p>
            <w:pPr>
              <w:widowControl/>
              <w:jc w:val="center"/>
              <w:rPr>
                <w:rFonts w:hint="eastAsia" w:ascii="仿宋" w:hAnsi="仿宋" w:eastAsia="仿宋" w:cs="仿宋"/>
                <w:color w:val="auto"/>
                <w:sz w:val="24"/>
                <w:szCs w:val="24"/>
              </w:rPr>
            </w:pPr>
          </w:p>
        </w:tc>
        <w:tc>
          <w:tcPr>
            <w:tcW w:w="1254" w:type="dxa"/>
            <w:vAlign w:val="center"/>
          </w:tcPr>
          <w:p>
            <w:pPr>
              <w:widowControl/>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436"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703"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703" w:type="dxa"/>
            <w:vAlign w:val="center"/>
          </w:tcPr>
          <w:p>
            <w:pPr>
              <w:widowControl/>
              <w:jc w:val="center"/>
              <w:rPr>
                <w:rFonts w:hint="eastAsia" w:ascii="仿宋" w:hAnsi="仿宋" w:eastAsia="仿宋" w:cs="仿宋"/>
                <w:color w:val="auto"/>
                <w:sz w:val="24"/>
                <w:szCs w:val="24"/>
              </w:rPr>
            </w:pPr>
          </w:p>
        </w:tc>
        <w:tc>
          <w:tcPr>
            <w:tcW w:w="704" w:type="dxa"/>
            <w:vAlign w:val="center"/>
          </w:tcPr>
          <w:p>
            <w:pPr>
              <w:widowControl/>
              <w:jc w:val="center"/>
              <w:rPr>
                <w:rFonts w:hint="eastAsia" w:ascii="仿宋" w:hAnsi="仿宋" w:eastAsia="仿宋" w:cs="仿宋"/>
                <w:color w:val="auto"/>
                <w:sz w:val="24"/>
                <w:szCs w:val="24"/>
              </w:rPr>
            </w:pPr>
          </w:p>
        </w:tc>
        <w:tc>
          <w:tcPr>
            <w:tcW w:w="1139" w:type="dxa"/>
            <w:vAlign w:val="center"/>
          </w:tcPr>
          <w:p>
            <w:pPr>
              <w:widowControl/>
              <w:jc w:val="center"/>
              <w:rPr>
                <w:rFonts w:hint="eastAsia" w:ascii="仿宋" w:hAnsi="仿宋" w:eastAsia="仿宋" w:cs="仿宋"/>
                <w:color w:val="auto"/>
                <w:sz w:val="24"/>
                <w:szCs w:val="24"/>
              </w:rPr>
            </w:pPr>
          </w:p>
        </w:tc>
        <w:tc>
          <w:tcPr>
            <w:tcW w:w="992" w:type="dxa"/>
            <w:vAlign w:val="center"/>
          </w:tcPr>
          <w:p>
            <w:pPr>
              <w:widowControl/>
              <w:jc w:val="center"/>
              <w:rPr>
                <w:rFonts w:hint="eastAsia" w:ascii="仿宋" w:hAnsi="仿宋" w:eastAsia="仿宋" w:cs="仿宋"/>
                <w:color w:val="auto"/>
                <w:sz w:val="24"/>
                <w:szCs w:val="24"/>
              </w:rPr>
            </w:pPr>
          </w:p>
        </w:tc>
        <w:tc>
          <w:tcPr>
            <w:tcW w:w="1194" w:type="dxa"/>
            <w:vAlign w:val="center"/>
          </w:tcPr>
          <w:p>
            <w:pPr>
              <w:widowControl/>
              <w:jc w:val="center"/>
              <w:rPr>
                <w:rFonts w:hint="eastAsia" w:ascii="仿宋" w:hAnsi="仿宋" w:eastAsia="仿宋" w:cs="仿宋"/>
                <w:color w:val="auto"/>
                <w:sz w:val="24"/>
                <w:szCs w:val="24"/>
              </w:rPr>
            </w:pPr>
          </w:p>
        </w:tc>
        <w:tc>
          <w:tcPr>
            <w:tcW w:w="1223" w:type="dxa"/>
            <w:vAlign w:val="center"/>
          </w:tcPr>
          <w:p>
            <w:pPr>
              <w:widowControl/>
              <w:jc w:val="center"/>
              <w:rPr>
                <w:rFonts w:hint="eastAsia" w:ascii="仿宋" w:hAnsi="仿宋" w:eastAsia="仿宋" w:cs="仿宋"/>
                <w:color w:val="auto"/>
                <w:sz w:val="24"/>
                <w:szCs w:val="24"/>
              </w:rPr>
            </w:pPr>
          </w:p>
        </w:tc>
        <w:tc>
          <w:tcPr>
            <w:tcW w:w="825" w:type="dxa"/>
            <w:vAlign w:val="center"/>
          </w:tcPr>
          <w:p>
            <w:pPr>
              <w:widowControl/>
              <w:jc w:val="center"/>
              <w:rPr>
                <w:rFonts w:hint="eastAsia" w:ascii="仿宋" w:hAnsi="仿宋" w:eastAsia="仿宋" w:cs="仿宋"/>
                <w:color w:val="auto"/>
                <w:sz w:val="24"/>
                <w:szCs w:val="24"/>
              </w:rPr>
            </w:pPr>
          </w:p>
        </w:tc>
        <w:tc>
          <w:tcPr>
            <w:tcW w:w="1083" w:type="dxa"/>
            <w:vAlign w:val="center"/>
          </w:tcPr>
          <w:p>
            <w:pPr>
              <w:widowControl/>
              <w:jc w:val="center"/>
              <w:rPr>
                <w:rFonts w:hint="eastAsia" w:ascii="仿宋" w:hAnsi="仿宋" w:eastAsia="仿宋" w:cs="仿宋"/>
                <w:color w:val="auto"/>
                <w:sz w:val="24"/>
                <w:szCs w:val="24"/>
              </w:rPr>
            </w:pPr>
          </w:p>
        </w:tc>
        <w:tc>
          <w:tcPr>
            <w:tcW w:w="792" w:type="dxa"/>
            <w:vAlign w:val="center"/>
          </w:tcPr>
          <w:p>
            <w:pPr>
              <w:widowControl/>
              <w:jc w:val="center"/>
              <w:rPr>
                <w:rFonts w:hint="eastAsia" w:ascii="仿宋" w:hAnsi="仿宋" w:eastAsia="仿宋" w:cs="仿宋"/>
                <w:color w:val="auto"/>
                <w:sz w:val="24"/>
                <w:szCs w:val="24"/>
              </w:rPr>
            </w:pPr>
          </w:p>
        </w:tc>
        <w:tc>
          <w:tcPr>
            <w:tcW w:w="1942" w:type="dxa"/>
            <w:vAlign w:val="center"/>
          </w:tcPr>
          <w:p>
            <w:pPr>
              <w:widowControl/>
              <w:jc w:val="center"/>
              <w:rPr>
                <w:rFonts w:hint="eastAsia" w:ascii="仿宋" w:hAnsi="仿宋" w:eastAsia="仿宋" w:cs="仿宋"/>
                <w:color w:val="auto"/>
                <w:sz w:val="24"/>
                <w:szCs w:val="24"/>
              </w:rPr>
            </w:pPr>
          </w:p>
        </w:tc>
        <w:tc>
          <w:tcPr>
            <w:tcW w:w="1254" w:type="dxa"/>
            <w:vAlign w:val="center"/>
          </w:tcPr>
          <w:p>
            <w:pPr>
              <w:widowControl/>
              <w:jc w:val="center"/>
              <w:rPr>
                <w:rFonts w:hint="eastAsia" w:ascii="仿宋" w:hAnsi="仿宋" w:eastAsia="仿宋" w:cs="仿宋"/>
                <w:color w:val="auto"/>
                <w:sz w:val="24"/>
                <w:szCs w:val="24"/>
              </w:rPr>
            </w:pPr>
          </w:p>
        </w:tc>
      </w:tr>
    </w:tbl>
    <w:p>
      <w:pPr>
        <w:widowControl/>
        <w:adjustRightInd w:val="0"/>
        <w:snapToGrid w:val="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注：①核医学工作人员指，全部从事核医学工作的人员（实习生和规培人员除外），包括正式员工、合同工、进修人员和返聘人员等；</w:t>
      </w:r>
    </w:p>
    <w:p>
      <w:pPr>
        <w:widowControl/>
        <w:adjustRightInd w:val="0"/>
        <w:snapToGrid w:val="0"/>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②本年度中6月30日的数据；</w:t>
      </w:r>
    </w:p>
    <w:p>
      <w:pPr>
        <w:widowControl/>
        <w:adjustRightInd w:val="0"/>
        <w:snapToGrid w:val="0"/>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③完成该调查表后，还需填写核医学工作人员职业健康调查表；</w:t>
      </w:r>
    </w:p>
    <w:p>
      <w:pPr>
        <w:widowControl/>
        <w:adjustRightInd w:val="0"/>
        <w:snapToGrid w:val="0"/>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④开展碘-131内照射监测人员，填写碘治疗人员内照射剂量监测信息表；</w:t>
      </w:r>
    </w:p>
    <w:p>
      <w:pPr>
        <w:widowControl/>
        <w:adjustRightInd w:val="0"/>
        <w:snapToGrid w:val="0"/>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⑤所有表格均为Excel格式，各调查表见邮箱。</w:t>
      </w:r>
    </w:p>
    <w:p>
      <w:pPr>
        <w:adjustRightInd w:val="0"/>
        <w:snapToGrid w:val="0"/>
        <w:rPr>
          <w:rFonts w:hint="eastAsia" w:ascii="仿宋_GB2312" w:eastAsia="仿宋_GB2312"/>
          <w:color w:val="auto"/>
          <w:sz w:val="32"/>
          <w:szCs w:val="32"/>
          <w:u w:val="single"/>
        </w:rPr>
        <w:sectPr>
          <w:footerReference r:id="rId6" w:type="default"/>
          <w:pgSz w:w="16838" w:h="11906" w:orient="landscape"/>
          <w:pgMar w:top="1418" w:right="1701" w:bottom="1418" w:left="1418" w:header="851" w:footer="992" w:gutter="0"/>
          <w:pgNumType w:fmt="numberInDash"/>
          <w:cols w:space="720" w:num="1"/>
          <w:docGrid w:linePitch="312" w:charSpace="0"/>
        </w:sectPr>
      </w:pPr>
    </w:p>
    <w:p>
      <w:pPr>
        <w:snapToGrid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ascii="黑体" w:hAnsi="黑体" w:eastAsia="黑体" w:cs="黑体"/>
          <w:color w:val="auto"/>
          <w:sz w:val="32"/>
          <w:szCs w:val="32"/>
          <w:highlight w:val="none"/>
        </w:rPr>
        <w:t>2</w:t>
      </w:r>
    </w:p>
    <w:p>
      <w:pPr>
        <w:widowControl/>
        <w:adjustRightInd w:val="0"/>
        <w:snapToGrid w:val="0"/>
        <w:spacing w:line="560" w:lineRule="atLeast"/>
        <w:jc w:val="center"/>
        <w:rPr>
          <w:rFonts w:hint="eastAsia" w:ascii="宋体" w:hAnsi="宋体" w:cs="宋体"/>
          <w:b/>
          <w:bCs/>
          <w:color w:val="auto"/>
          <w:kern w:val="0"/>
          <w:sz w:val="44"/>
          <w:szCs w:val="44"/>
        </w:rPr>
      </w:pPr>
      <w:r>
        <w:rPr>
          <w:rFonts w:hint="eastAsia" w:ascii="宋体" w:hAnsi="宋体" w:cs="宋体"/>
          <w:b/>
          <w:bCs/>
          <w:color w:val="auto"/>
          <w:kern w:val="0"/>
          <w:sz w:val="44"/>
          <w:szCs w:val="44"/>
        </w:rPr>
        <w:t>20</w:t>
      </w:r>
      <w:r>
        <w:rPr>
          <w:rFonts w:hint="eastAsia" w:ascii="宋体" w:hAnsi="宋体" w:cs="宋体"/>
          <w:b/>
          <w:bCs/>
          <w:color w:val="auto"/>
          <w:kern w:val="0"/>
          <w:sz w:val="44"/>
          <w:szCs w:val="44"/>
          <w:lang w:val="en-US" w:eastAsia="zh-CN"/>
        </w:rPr>
        <w:t>22</w:t>
      </w:r>
      <w:r>
        <w:rPr>
          <w:rFonts w:hint="eastAsia" w:ascii="宋体" w:hAnsi="宋体" w:cs="宋体"/>
          <w:b/>
          <w:bCs/>
          <w:color w:val="auto"/>
          <w:kern w:val="0"/>
          <w:sz w:val="44"/>
          <w:szCs w:val="44"/>
        </w:rPr>
        <w:t>年石景山区医疗卫生机构</w:t>
      </w:r>
    </w:p>
    <w:p>
      <w:pPr>
        <w:widowControl/>
        <w:adjustRightInd w:val="0"/>
        <w:snapToGrid w:val="0"/>
        <w:spacing w:line="560" w:lineRule="atLeast"/>
        <w:jc w:val="center"/>
        <w:rPr>
          <w:rFonts w:hint="eastAsia" w:ascii="方正小标宋简体" w:eastAsia="方正小标宋简体" w:cs="宋体"/>
          <w:bCs/>
          <w:color w:val="auto"/>
          <w:kern w:val="0"/>
          <w:sz w:val="44"/>
          <w:szCs w:val="44"/>
        </w:rPr>
      </w:pPr>
      <w:r>
        <w:rPr>
          <w:rFonts w:hint="eastAsia" w:ascii="宋体" w:hAnsi="宋体" w:cs="宋体"/>
          <w:b/>
          <w:bCs/>
          <w:color w:val="auto"/>
          <w:kern w:val="0"/>
          <w:sz w:val="44"/>
          <w:szCs w:val="44"/>
        </w:rPr>
        <w:t>医用辐射防护监测工作实施方案</w:t>
      </w:r>
    </w:p>
    <w:p>
      <w:pPr>
        <w:snapToGrid w:val="0"/>
        <w:spacing w:line="500" w:lineRule="atLeast"/>
        <w:rPr>
          <w:rFonts w:ascii="仿宋_GB2312" w:eastAsia="仿宋_GB2312"/>
          <w:color w:val="auto"/>
          <w:sz w:val="32"/>
          <w:szCs w:val="32"/>
        </w:rPr>
      </w:pP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为全面了解医用辐射防护现状，科学实施医疗卫生机构放射诊疗防护管理，按照《北京市卫生健康委员会关于印发2022年北京市放射卫生监测项目工作方案的通知》</w:t>
      </w:r>
      <w:r>
        <w:rPr>
          <w:rFonts w:hint="eastAsia" w:ascii="仿宋_GB2312" w:eastAsia="仿宋_GB2312"/>
          <w:color w:val="auto"/>
          <w:sz w:val="32"/>
          <w:szCs w:val="32"/>
          <w:highlight w:val="none"/>
        </w:rPr>
        <w:t>（京卫职健〔</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号）</w:t>
      </w:r>
      <w:r>
        <w:rPr>
          <w:rFonts w:hint="eastAsia" w:ascii="仿宋_GB2312" w:eastAsia="仿宋_GB2312"/>
          <w:color w:val="auto"/>
          <w:sz w:val="32"/>
          <w:szCs w:val="32"/>
        </w:rPr>
        <w:t>要求，结合石景山区实际，制定《202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年石景山区医疗卫生机构医用辐射防护监测工作实施方案》。</w:t>
      </w:r>
    </w:p>
    <w:p>
      <w:pPr>
        <w:pStyle w:val="16"/>
        <w:snapToGrid w:val="0"/>
        <w:spacing w:line="520" w:lineRule="exact"/>
        <w:ind w:firstLine="640" w:firstLineChars="200"/>
        <w:jc w:val="left"/>
        <w:rPr>
          <w:rFonts w:hint="eastAsia" w:ascii="黑体" w:eastAsia="黑体" w:cs="黑体"/>
          <w:color w:val="auto"/>
          <w:sz w:val="32"/>
          <w:szCs w:val="32"/>
        </w:rPr>
      </w:pPr>
      <w:r>
        <w:rPr>
          <w:rFonts w:hint="eastAsia" w:ascii="黑体" w:eastAsia="黑体" w:cs="黑体"/>
          <w:color w:val="auto"/>
          <w:sz w:val="32"/>
          <w:szCs w:val="32"/>
        </w:rPr>
        <w:t>一、监测目标</w:t>
      </w: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通过开展问卷调查、现场监测的方法，掌握石景山区开展放射诊疗的医疗卫生机构基本情况、放射诊疗设备防护安全、医疗照射频度、患者剂量和公众的辐射防护情况，为研究制订放射卫生标准和规范提供技术支持，有效保护医疗卫生机构放射工作人员、患者和公众的健康权益。</w:t>
      </w:r>
    </w:p>
    <w:p>
      <w:pPr>
        <w:pStyle w:val="23"/>
        <w:adjustRightInd w:val="0"/>
        <w:snapToGrid w:val="0"/>
        <w:spacing w:line="520" w:lineRule="exact"/>
        <w:ind w:left="640" w:firstLine="0" w:firstLineChars="0"/>
        <w:jc w:val="left"/>
        <w:rPr>
          <w:rFonts w:ascii="黑体" w:hAnsi="Times New Roman" w:eastAsia="黑体" w:cs="黑体"/>
          <w:color w:val="auto"/>
          <w:sz w:val="32"/>
          <w:szCs w:val="32"/>
        </w:rPr>
      </w:pPr>
      <w:r>
        <w:rPr>
          <w:rFonts w:hint="eastAsia" w:ascii="黑体" w:hAnsi="Times New Roman" w:eastAsia="黑体" w:cs="黑体"/>
          <w:color w:val="auto"/>
          <w:sz w:val="32"/>
          <w:szCs w:val="32"/>
        </w:rPr>
        <w:t>二、监测范围</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（一）放射诊疗机构基本情况调查</w:t>
      </w:r>
    </w:p>
    <w:p>
      <w:pPr>
        <w:snapToGrid w:val="0"/>
        <w:spacing w:line="52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对辖区</w:t>
      </w:r>
      <w:r>
        <w:rPr>
          <w:rFonts w:hint="eastAsia" w:ascii="仿宋_GB2312" w:eastAsia="仿宋_GB2312"/>
          <w:color w:val="auto"/>
          <w:sz w:val="32"/>
          <w:szCs w:val="32"/>
          <w:lang w:val="en-US" w:eastAsia="zh-CN"/>
        </w:rPr>
        <w:t>范围内的</w:t>
      </w:r>
      <w:r>
        <w:rPr>
          <w:rFonts w:hint="eastAsia" w:ascii="仿宋_GB2312" w:eastAsia="仿宋_GB2312"/>
          <w:color w:val="auto"/>
          <w:sz w:val="32"/>
          <w:szCs w:val="32"/>
        </w:rPr>
        <w:t>放射诊疗机构进行基本情况调查和放射诊疗频度调查</w:t>
      </w:r>
      <w:r>
        <w:rPr>
          <w:rFonts w:hint="eastAsia" w:ascii="仿宋_GB2312" w:eastAsia="仿宋_GB2312"/>
          <w:color w:val="auto"/>
          <w:sz w:val="32"/>
          <w:szCs w:val="32"/>
          <w:lang w:eastAsia="zh-CN"/>
        </w:rPr>
        <w:t>。</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（二）放射诊疗设备的防护监测和场所监测</w:t>
      </w:r>
    </w:p>
    <w:p>
      <w:pPr>
        <w:snapToGrid w:val="0"/>
        <w:spacing w:line="52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按照北京市方案的要求，选定北京市石景山区广宁街道社区卫生服务中心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北京市石景山区五里坨街道社区卫生服务中心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北京首特泰康医院</w:t>
      </w:r>
      <w:r>
        <w:rPr>
          <w:rFonts w:hint="eastAsia"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lang w:eastAsia="zh-CN"/>
        </w:rPr>
        <w:t>北京市石景山区中医医院</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家医疗机构为监测医院。</w:t>
      </w:r>
    </w:p>
    <w:p>
      <w:pPr>
        <w:pStyle w:val="23"/>
        <w:adjustRightInd w:val="0"/>
        <w:snapToGrid w:val="0"/>
        <w:spacing w:line="520" w:lineRule="exact"/>
        <w:ind w:left="640" w:firstLine="0" w:firstLineChars="0"/>
        <w:rPr>
          <w:rFonts w:ascii="黑体" w:hAnsi="Times New Roman" w:eastAsia="黑体" w:cs="黑体"/>
          <w:color w:val="auto"/>
          <w:sz w:val="32"/>
          <w:szCs w:val="32"/>
        </w:rPr>
      </w:pPr>
      <w:r>
        <w:rPr>
          <w:rFonts w:hint="eastAsia" w:ascii="黑体" w:hAnsi="Times New Roman" w:eastAsia="黑体" w:cs="黑体"/>
          <w:color w:val="auto"/>
          <w:sz w:val="32"/>
          <w:szCs w:val="32"/>
        </w:rPr>
        <w:t>三、监测内容与方法</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（一）放射诊疗机构基本情况调查及放射诊疗频度调查</w:t>
      </w:r>
    </w:p>
    <w:p>
      <w:pPr>
        <w:snapToGrid w:val="0"/>
        <w:spacing w:line="520" w:lineRule="exact"/>
        <w:ind w:firstLine="640" w:firstLineChars="200"/>
        <w:jc w:val="left"/>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rPr>
        <w:t>通过问卷调查的方法，调查放射治疗、核医学、介入放射学和X射线影像诊断4类设备数量，统计本辖区放射工作人员的数量等信息。开展放射诊疗频度调查，包括调查放射治疗人数、核医学人次、介入治疗人次和X射线诊断的人次</w:t>
      </w:r>
      <w:r>
        <w:rPr>
          <w:rFonts w:hint="eastAsia" w:ascii="仿宋_GB2312" w:hAnsi="宋体" w:eastAsia="仿宋_GB2312" w:cs="仿宋_GB2312"/>
          <w:color w:val="auto"/>
          <w:sz w:val="32"/>
          <w:szCs w:val="32"/>
          <w:lang w:eastAsia="zh-CN"/>
        </w:rPr>
        <w:t>。</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区卫生健康委负责组织辖区</w:t>
      </w:r>
      <w:r>
        <w:rPr>
          <w:rFonts w:hint="eastAsia" w:ascii="仿宋_GB2312" w:hAnsi="宋体" w:eastAsia="仿宋_GB2312" w:cs="仿宋_GB2312"/>
          <w:color w:val="auto"/>
          <w:sz w:val="32"/>
          <w:szCs w:val="32"/>
          <w:lang w:val="en-US" w:eastAsia="zh-CN"/>
        </w:rPr>
        <w:t>内全部</w:t>
      </w:r>
      <w:r>
        <w:rPr>
          <w:rFonts w:hint="eastAsia" w:ascii="仿宋_GB2312" w:hAnsi="宋体" w:eastAsia="仿宋_GB2312" w:cs="仿宋_GB2312"/>
          <w:color w:val="auto"/>
          <w:sz w:val="32"/>
          <w:szCs w:val="32"/>
        </w:rPr>
        <w:t>放射诊疗机构填报、更新“北京市放射卫生监测数据库”，导出“放射诊疗机构基本情况调查表”（见附表</w:t>
      </w:r>
      <w:r>
        <w:rPr>
          <w:rFonts w:hint="eastAsia" w:ascii="仿宋_GB2312" w:hAnsi="宋体" w:eastAsia="仿宋_GB2312" w:cs="仿宋_GB2312"/>
          <w:color w:val="auto"/>
          <w:sz w:val="32"/>
          <w:szCs w:val="32"/>
          <w:lang w:val="en-US" w:eastAsia="zh-CN"/>
        </w:rPr>
        <w:t>1</w:t>
      </w:r>
      <w:r>
        <w:rPr>
          <w:rFonts w:hint="eastAsia" w:ascii="仿宋_GB2312" w:hAnsi="宋体" w:eastAsia="仿宋_GB2312" w:cs="仿宋_GB2312"/>
          <w:color w:val="auto"/>
          <w:sz w:val="32"/>
          <w:szCs w:val="32"/>
        </w:rPr>
        <w:t>）、“医疗卫生机构开展放射诊疗频度调查记录表”（见附表</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（二）放射诊疗设备放射防护性能监测</w:t>
      </w:r>
    </w:p>
    <w:p>
      <w:pPr>
        <w:snapToGrid w:val="0"/>
        <w:spacing w:line="520" w:lineRule="exact"/>
        <w:ind w:firstLine="640" w:firstLineChars="200"/>
        <w:jc w:val="left"/>
        <w:rPr>
          <w:rFonts w:hint="eastAsia"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1.放射治疗设备放射防护性能监测</w:t>
      </w:r>
    </w:p>
    <w:p>
      <w:pPr>
        <w:snapToGrid w:val="0"/>
        <w:spacing w:line="520" w:lineRule="exact"/>
        <w:ind w:firstLine="640" w:firstLineChars="200"/>
        <w:jc w:val="left"/>
        <w:rPr>
          <w:rFonts w:hint="eastAsia" w:ascii="仿宋_GB2312" w:hAnsi="宋体" w:eastAsia="仿宋_GB2312" w:cs="仿宋_GB2312"/>
          <w:color w:val="auto"/>
          <w:sz w:val="32"/>
          <w:szCs w:val="32"/>
          <w:highlight w:val="none"/>
          <w:lang w:eastAsia="zh-CN"/>
        </w:rPr>
      </w:pPr>
      <w:r>
        <w:rPr>
          <w:rFonts w:hint="eastAsia" w:ascii="仿宋_GB2312" w:hAnsi="宋体" w:eastAsia="仿宋_GB2312" w:cs="仿宋_GB2312"/>
          <w:color w:val="auto"/>
          <w:sz w:val="32"/>
          <w:szCs w:val="32"/>
          <w:highlight w:val="none"/>
        </w:rPr>
        <w:t>区疾控中心</w:t>
      </w:r>
      <w:r>
        <w:rPr>
          <w:rFonts w:hint="eastAsia" w:ascii="仿宋_GB2312" w:hAnsi="宋体" w:eastAsia="仿宋_GB2312" w:cs="仿宋_GB2312"/>
          <w:color w:val="auto"/>
          <w:sz w:val="32"/>
          <w:szCs w:val="32"/>
          <w:highlight w:val="none"/>
          <w:lang w:eastAsia="zh-CN"/>
        </w:rPr>
        <w:t>配合</w:t>
      </w:r>
      <w:r>
        <w:rPr>
          <w:rFonts w:hint="eastAsia" w:ascii="仿宋_GB2312" w:hAnsi="宋体" w:eastAsia="仿宋_GB2312" w:cs="仿宋_GB2312"/>
          <w:color w:val="auto"/>
          <w:sz w:val="32"/>
          <w:szCs w:val="32"/>
          <w:highlight w:val="none"/>
        </w:rPr>
        <w:t>市疾控中心</w:t>
      </w:r>
      <w:r>
        <w:rPr>
          <w:rFonts w:hint="eastAsia" w:ascii="仿宋_GB2312" w:hAnsi="宋体" w:eastAsia="仿宋_GB2312" w:cs="仿宋_GB2312"/>
          <w:color w:val="auto"/>
          <w:sz w:val="32"/>
          <w:szCs w:val="32"/>
          <w:highlight w:val="none"/>
          <w:lang w:eastAsia="zh-CN"/>
        </w:rPr>
        <w:t>对北京市石景山医院</w:t>
      </w:r>
      <w:r>
        <w:rPr>
          <w:rFonts w:hint="eastAsia" w:ascii="仿宋_GB2312" w:hAnsi="宋体" w:eastAsia="仿宋_GB2312" w:cs="仿宋_GB2312"/>
          <w:color w:val="auto"/>
          <w:sz w:val="32"/>
          <w:szCs w:val="32"/>
          <w:highlight w:val="none"/>
        </w:rPr>
        <w:t>开展</w:t>
      </w:r>
      <w:r>
        <w:rPr>
          <w:rFonts w:hint="eastAsia" w:ascii="仿宋_GB2312" w:hAnsi="宋体" w:eastAsia="仿宋_GB2312" w:cs="仿宋_GB2312"/>
          <w:color w:val="auto"/>
          <w:sz w:val="32"/>
          <w:szCs w:val="32"/>
          <w:highlight w:val="none"/>
          <w:lang w:eastAsia="zh-CN"/>
        </w:rPr>
        <w:t>医用电子加速器放射防护性能监测工作</w:t>
      </w:r>
      <w:r>
        <w:rPr>
          <w:rFonts w:hint="eastAsia" w:ascii="仿宋_GB2312" w:hAnsi="宋体" w:eastAsia="仿宋_GB2312" w:cs="仿宋_GB2312"/>
          <w:color w:val="auto"/>
          <w:sz w:val="32"/>
          <w:szCs w:val="32"/>
          <w:highlight w:val="none"/>
        </w:rPr>
        <w:t>。医用电子加速器监测X射线6项指标</w:t>
      </w:r>
      <w:r>
        <w:rPr>
          <w:rFonts w:hint="eastAsia" w:ascii="仿宋_GB2312" w:hAnsi="宋体" w:eastAsia="仿宋_GB2312" w:cs="仿宋_GB2312"/>
          <w:color w:val="auto"/>
          <w:sz w:val="32"/>
          <w:szCs w:val="32"/>
          <w:highlight w:val="none"/>
          <w:lang w:eastAsia="zh-CN"/>
        </w:rPr>
        <w:t>。</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.放射诊断设备放射防护性能监测</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highlight w:val="none"/>
        </w:rPr>
        <w:t>对</w:t>
      </w:r>
      <w:r>
        <w:rPr>
          <w:rFonts w:hint="eastAsia" w:ascii="仿宋_GB2312" w:hAnsi="宋体" w:eastAsia="仿宋_GB2312" w:cs="仿宋_GB2312"/>
          <w:color w:val="auto"/>
          <w:sz w:val="32"/>
          <w:szCs w:val="32"/>
          <w:highlight w:val="none"/>
          <w:lang w:val="en-US" w:eastAsia="zh-CN"/>
        </w:rPr>
        <w:t>4</w:t>
      </w:r>
      <w:r>
        <w:rPr>
          <w:rFonts w:hint="eastAsia" w:ascii="仿宋_GB2312" w:hAnsi="宋体" w:eastAsia="仿宋_GB2312" w:cs="仿宋_GB2312"/>
          <w:color w:val="auto"/>
          <w:sz w:val="32"/>
          <w:szCs w:val="32"/>
          <w:highlight w:val="none"/>
        </w:rPr>
        <w:t>家监测医院</w:t>
      </w:r>
      <w:r>
        <w:rPr>
          <w:rFonts w:hint="eastAsia" w:ascii="仿宋_GB2312" w:hAnsi="宋体" w:eastAsia="仿宋_GB2312" w:cs="仿宋_GB2312"/>
          <w:color w:val="auto"/>
          <w:sz w:val="32"/>
          <w:szCs w:val="32"/>
          <w:highlight w:val="none"/>
          <w:lang w:eastAsia="zh-CN"/>
        </w:rPr>
        <w:t>的</w:t>
      </w:r>
      <w:r>
        <w:rPr>
          <w:rFonts w:hint="eastAsia" w:ascii="仿宋_GB2312" w:hAnsi="宋体" w:eastAsia="仿宋_GB2312" w:cs="仿宋_GB2312"/>
          <w:color w:val="auto"/>
          <w:sz w:val="32"/>
          <w:szCs w:val="32"/>
          <w:highlight w:val="none"/>
        </w:rPr>
        <w:t>屏片X射线摄影机、X射线透视机、数字X</w:t>
      </w:r>
      <w:r>
        <w:rPr>
          <w:rFonts w:hint="eastAsia" w:ascii="仿宋_GB2312" w:hAnsi="宋体" w:eastAsia="仿宋_GB2312" w:cs="仿宋_GB2312"/>
          <w:color w:val="auto"/>
          <w:sz w:val="32"/>
          <w:szCs w:val="32"/>
        </w:rPr>
        <w:t>射线摄影机（DR）、计算机X射线摄影机(CR)、计算机X射线断层扫描设备（CT）、乳腺DR和数字减影血管造影（DSA）设备、牙科X射线设备等放射诊断设备进行放射防护性能监测。</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对各医院监测以上各类设备各1台。</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屏片X射线摄影机监测指标共8项；X射线透视机监测指标共6项；DR设备监测指标共15项（通用指标8项，专用指标7项）；CR设备监测指标共15项（通用指标8项，专用指标7项）；CT机监测指标共9项；乳腺DR设备监测指标共11项（通用指标6项，专用指标5项）；DSA设备监测指标共9项（通用指标6项，专用指标3项）；口内牙科机6项；全景牙科机5项。</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（三）放射诊疗场所放射防护监测</w:t>
      </w:r>
    </w:p>
    <w:p>
      <w:pPr>
        <w:snapToGrid w:val="0"/>
        <w:spacing w:line="520" w:lineRule="exact"/>
        <w:ind w:firstLine="640" w:firstLineChars="200"/>
        <w:jc w:val="left"/>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对医疗卫生机构进行放射诊疗设备监测的同时应开展放射诊疗场所放射防护监测。对没有固定使用机房的移动X射线设备，无需进行相关场所放射防护监测</w:t>
      </w:r>
      <w:r>
        <w:rPr>
          <w:rFonts w:hint="eastAsia" w:ascii="仿宋_GB2312" w:hAnsi="宋体" w:eastAsia="仿宋_GB2312"/>
          <w:color w:val="auto"/>
          <w:sz w:val="32"/>
          <w:szCs w:val="32"/>
          <w:lang w:eastAsia="zh-CN"/>
        </w:rPr>
        <w:t>。</w:t>
      </w:r>
    </w:p>
    <w:p>
      <w:pPr>
        <w:snapToGrid w:val="0"/>
        <w:spacing w:line="520" w:lineRule="exact"/>
        <w:ind w:firstLine="640" w:firstLineChars="200"/>
        <w:jc w:val="left"/>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1.对放射诊断照射室周围及关注点包括楼上楼下各方向屏蔽体外、观察窗、机房门、操作室门、操作人员位等处，进行放射防护监测；</w:t>
      </w:r>
    </w:p>
    <w:p>
      <w:pPr>
        <w:snapToGrid w:val="0"/>
        <w:spacing w:line="520" w:lineRule="exact"/>
        <w:ind w:firstLine="640" w:firstLineChars="200"/>
        <w:jc w:val="left"/>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2.对放射治疗照射室周围，包括屋顶，进行放射防护监测。</w:t>
      </w:r>
    </w:p>
    <w:p>
      <w:pPr>
        <w:pStyle w:val="23"/>
        <w:adjustRightInd w:val="0"/>
        <w:snapToGrid w:val="0"/>
        <w:spacing w:line="520" w:lineRule="exact"/>
        <w:ind w:left="640" w:firstLine="0" w:firstLineChars="0"/>
        <w:rPr>
          <w:rFonts w:ascii="黑体" w:hAnsi="Times New Roman" w:eastAsia="黑体" w:cs="Times New Roman"/>
          <w:color w:val="auto"/>
          <w:sz w:val="32"/>
          <w:szCs w:val="32"/>
        </w:rPr>
      </w:pPr>
      <w:bookmarkStart w:id="2" w:name="_Hlk14626862"/>
      <w:r>
        <w:rPr>
          <w:rFonts w:hint="eastAsia" w:ascii="黑体" w:hAnsi="Times New Roman" w:eastAsia="黑体" w:cs="黑体"/>
          <w:color w:val="auto"/>
          <w:sz w:val="32"/>
          <w:szCs w:val="32"/>
        </w:rPr>
        <w:t>四、项目管理要求</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（一）各部门职责</w:t>
      </w:r>
    </w:p>
    <w:p>
      <w:pPr>
        <w:snapToGrid w:val="0"/>
        <w:spacing w:line="520" w:lineRule="exact"/>
        <w:ind w:firstLine="643" w:firstLineChars="200"/>
        <w:jc w:val="left"/>
        <w:rPr>
          <w:rFonts w:hint="eastAsia" w:ascii="仿宋_GB2312" w:hAnsi="宋体" w:eastAsia="仿宋_GB2312"/>
          <w:color w:val="auto"/>
          <w:sz w:val="32"/>
          <w:szCs w:val="32"/>
        </w:rPr>
      </w:pPr>
      <w:r>
        <w:rPr>
          <w:rFonts w:hint="eastAsia" w:ascii="仿宋_GB2312" w:hAnsi="宋体" w:eastAsia="仿宋_GB2312"/>
          <w:b/>
          <w:bCs/>
          <w:color w:val="auto"/>
          <w:sz w:val="32"/>
          <w:szCs w:val="32"/>
        </w:rPr>
        <w:t>1.区卫生健康委：</w:t>
      </w:r>
      <w:r>
        <w:rPr>
          <w:rFonts w:hint="eastAsia" w:ascii="仿宋_GB2312" w:hAnsi="宋体" w:eastAsia="仿宋_GB2312"/>
          <w:color w:val="auto"/>
          <w:sz w:val="32"/>
          <w:szCs w:val="32"/>
        </w:rPr>
        <w:t>负责组织实施辖区监测工作，制定实施方案。</w:t>
      </w:r>
      <w:r>
        <w:rPr>
          <w:rFonts w:hint="eastAsia" w:ascii="仿宋_GB2312" w:hAnsi="宋体" w:eastAsia="仿宋_GB2312"/>
          <w:color w:val="auto"/>
          <w:sz w:val="32"/>
          <w:szCs w:val="32"/>
          <w:lang w:eastAsia="zh-CN"/>
        </w:rPr>
        <w:t>组织</w:t>
      </w:r>
      <w:r>
        <w:rPr>
          <w:rFonts w:hint="eastAsia" w:ascii="仿宋_GB2312" w:hAnsi="宋体" w:eastAsia="仿宋_GB2312"/>
          <w:color w:val="auto"/>
          <w:sz w:val="32"/>
          <w:szCs w:val="32"/>
        </w:rPr>
        <w:t>放射诊疗机构填报、更新“北京市放射卫生监测数据库”，协调组织监测医院开展监测。组织辖区项目自查，督促承担机构按时上报监测数据和工作总结，确保项目工作按时完成。</w:t>
      </w:r>
    </w:p>
    <w:p>
      <w:pPr>
        <w:snapToGrid w:val="0"/>
        <w:spacing w:line="520" w:lineRule="exact"/>
        <w:ind w:firstLine="643" w:firstLineChars="200"/>
        <w:jc w:val="left"/>
        <w:rPr>
          <w:rFonts w:hint="eastAsia" w:ascii="仿宋_GB2312" w:hAnsi="宋体" w:eastAsia="仿宋_GB2312"/>
          <w:color w:val="auto"/>
          <w:sz w:val="32"/>
          <w:szCs w:val="32"/>
          <w:lang w:eastAsia="zh-CN"/>
        </w:rPr>
      </w:pPr>
      <w:r>
        <w:rPr>
          <w:rFonts w:hint="eastAsia" w:ascii="仿宋_GB2312" w:hAnsi="宋体" w:eastAsia="仿宋_GB2312"/>
          <w:b/>
          <w:bCs/>
          <w:color w:val="auto"/>
          <w:sz w:val="32"/>
          <w:szCs w:val="32"/>
        </w:rPr>
        <w:t>2.区疾控中心：</w:t>
      </w:r>
      <w:r>
        <w:rPr>
          <w:rFonts w:hint="eastAsia" w:ascii="仿宋_GB2312" w:hAnsi="宋体" w:eastAsia="仿宋_GB2312"/>
          <w:color w:val="auto"/>
          <w:sz w:val="32"/>
          <w:szCs w:val="32"/>
        </w:rPr>
        <w:t>在区卫生健康委、市疾控中心的组织和协调下，承担辖区内的监测项目工作</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负责辖区监测数据的录入和医疗卫生机构上报、上传数据的审核工作</w:t>
      </w:r>
      <w:r>
        <w:rPr>
          <w:rFonts w:hint="eastAsia" w:ascii="仿宋_GB2312" w:hAnsi="宋体" w:eastAsia="仿宋_GB2312"/>
          <w:color w:val="auto"/>
          <w:sz w:val="32"/>
          <w:szCs w:val="32"/>
          <w:lang w:eastAsia="zh-CN"/>
        </w:rPr>
        <w:t>，按时上报监测数据和工作总结。</w:t>
      </w:r>
    </w:p>
    <w:p>
      <w:pPr>
        <w:snapToGrid w:val="0"/>
        <w:spacing w:line="520" w:lineRule="exact"/>
        <w:ind w:firstLine="643" w:firstLineChars="200"/>
        <w:jc w:val="left"/>
        <w:rPr>
          <w:rFonts w:hint="eastAsia" w:ascii="仿宋_GB2312" w:hAnsi="宋体" w:eastAsia="仿宋_GB2312"/>
          <w:color w:val="auto"/>
          <w:sz w:val="32"/>
          <w:szCs w:val="32"/>
        </w:rPr>
      </w:pPr>
      <w:r>
        <w:rPr>
          <w:rFonts w:hint="eastAsia" w:ascii="仿宋_GB2312" w:hAnsi="宋体" w:eastAsia="仿宋_GB2312"/>
          <w:b/>
          <w:bCs/>
          <w:color w:val="auto"/>
          <w:sz w:val="32"/>
          <w:szCs w:val="32"/>
        </w:rPr>
        <w:t>3.各医疗卫生机构：</w:t>
      </w:r>
      <w:r>
        <w:rPr>
          <w:rFonts w:hint="eastAsia" w:ascii="仿宋_GB2312" w:hAnsi="宋体" w:eastAsia="仿宋_GB2312"/>
          <w:color w:val="auto"/>
          <w:sz w:val="32"/>
          <w:szCs w:val="32"/>
        </w:rPr>
        <w:t>配合市、区疾控中心完成现场监测及调查工作，负责填报、更新“北京市放射卫生监测数据库”并导出调查表及相关数据、材料的上报、上传。</w:t>
      </w:r>
    </w:p>
    <w:bookmarkEnd w:id="2"/>
    <w:p>
      <w:pPr>
        <w:snapToGrid w:val="0"/>
        <w:spacing w:line="520" w:lineRule="exact"/>
        <w:ind w:firstLine="640" w:firstLineChars="200"/>
        <w:jc w:val="left"/>
        <w:rPr>
          <w:rFonts w:hint="eastAsia" w:ascii="楷体_GB2312" w:hAnsi="楷体" w:eastAsia="楷体_GB2312" w:cs="楷体_GB2312"/>
          <w:color w:val="auto"/>
          <w:sz w:val="32"/>
          <w:szCs w:val="32"/>
        </w:rPr>
      </w:pPr>
      <w:bookmarkStart w:id="3" w:name="_Hlk14627541"/>
      <w:r>
        <w:rPr>
          <w:rFonts w:hint="eastAsia" w:ascii="楷体_GB2312" w:hAnsi="楷体" w:eastAsia="楷体_GB2312" w:cs="楷体_GB2312"/>
          <w:color w:val="auto"/>
          <w:sz w:val="32"/>
          <w:szCs w:val="32"/>
        </w:rPr>
        <w:t>（二）工作进度要求</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36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时间</w:t>
            </w:r>
          </w:p>
        </w:tc>
        <w:tc>
          <w:tcPr>
            <w:tcW w:w="1620"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工作阶段</w:t>
            </w:r>
          </w:p>
        </w:tc>
        <w:tc>
          <w:tcPr>
            <w:tcW w:w="629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工作进度要求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68" w:type="dxa"/>
            <w:vAlign w:val="center"/>
          </w:tcPr>
          <w:p>
            <w:pPr>
              <w:adjustRightInd w:val="0"/>
              <w:snapToGrid w:val="0"/>
              <w:spacing w:line="400" w:lineRule="exact"/>
              <w:jc w:val="center"/>
              <w:rPr>
                <w:rFonts w:hint="eastAsia" w:ascii="仿宋_GB2312" w:hAnsi="宋体"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p>
        </w:tc>
        <w:tc>
          <w:tcPr>
            <w:tcW w:w="1620" w:type="dxa"/>
            <w:vAlign w:val="center"/>
          </w:tcPr>
          <w:p>
            <w:pPr>
              <w:adjustRightInd w:val="0"/>
              <w:snapToGrid w:val="0"/>
              <w:spacing w:line="400" w:lineRule="exact"/>
              <w:jc w:val="center"/>
              <w:rPr>
                <w:rFonts w:hint="eastAsia" w:ascii="仿宋_GB2312" w:hAnsi="宋体" w:eastAsia="仿宋_GB2312" w:cs="仿宋_GB2312"/>
                <w:color w:val="auto"/>
                <w:sz w:val="28"/>
                <w:szCs w:val="28"/>
              </w:rPr>
            </w:pPr>
            <w:r>
              <w:rPr>
                <w:rFonts w:hint="eastAsia" w:ascii="仿宋_GB2312" w:hAnsi="仿宋_GB2312" w:eastAsia="仿宋_GB2312" w:cs="仿宋_GB2312"/>
                <w:color w:val="auto"/>
                <w:sz w:val="28"/>
                <w:szCs w:val="28"/>
              </w:rPr>
              <w:t>项目启动、培训阶段</w:t>
            </w:r>
          </w:p>
        </w:tc>
        <w:tc>
          <w:tcPr>
            <w:tcW w:w="6298" w:type="dxa"/>
            <w:vAlign w:val="center"/>
          </w:tcPr>
          <w:p>
            <w:pPr>
              <w:adjustRightInd w:val="0"/>
              <w:snapToGrid w:val="0"/>
              <w:spacing w:line="40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月31日前，区卫生健康委及疾控中心完成项目工作启动及培训，下发监测工作方案。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68" w:type="dxa"/>
            <w:vAlign w:val="center"/>
          </w:tcPr>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月～10月</w:t>
            </w:r>
          </w:p>
        </w:tc>
        <w:tc>
          <w:tcPr>
            <w:tcW w:w="1620" w:type="dxa"/>
            <w:vAlign w:val="center"/>
          </w:tcPr>
          <w:p>
            <w:pPr>
              <w:adjustRightInd w:val="0"/>
              <w:snapToGrid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数据采集</w:t>
            </w:r>
          </w:p>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阶段</w:t>
            </w:r>
          </w:p>
        </w:tc>
        <w:tc>
          <w:tcPr>
            <w:tcW w:w="6298" w:type="dxa"/>
            <w:vAlign w:val="center"/>
          </w:tcPr>
          <w:p>
            <w:pPr>
              <w:adjustRightInd w:val="0"/>
              <w:snapToGrid w:val="0"/>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sz w:val="28"/>
                <w:szCs w:val="28"/>
                <w:lang w:eastAsia="zh-CN"/>
              </w:rPr>
              <w:t>8月31日前，医疗卫生机构按要求填报、更新“北京市放射卫生监测数据库”，导出基本情况及频度调查表报区疾控中心；</w:t>
            </w:r>
          </w:p>
          <w:p>
            <w:pPr>
              <w:adjustRightInd w:val="0"/>
              <w:snapToGrid w:val="0"/>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sz w:val="28"/>
                <w:szCs w:val="28"/>
                <w:lang w:eastAsia="zh-CN"/>
              </w:rPr>
              <w:t>10月20日前，区疾控中心完成监测工作；区卫生健康委组织完成辖区项目自查。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68" w:type="dxa"/>
            <w:vAlign w:val="center"/>
          </w:tcPr>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10月～11月</w:t>
            </w:r>
          </w:p>
        </w:tc>
        <w:tc>
          <w:tcPr>
            <w:tcW w:w="1620" w:type="dxa"/>
            <w:vAlign w:val="center"/>
          </w:tcPr>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数据复核与录入</w:t>
            </w:r>
          </w:p>
        </w:tc>
        <w:tc>
          <w:tcPr>
            <w:tcW w:w="6298" w:type="dxa"/>
            <w:vAlign w:val="center"/>
          </w:tcPr>
          <w:p>
            <w:pPr>
              <w:adjustRightInd w:val="0"/>
              <w:snapToGrid w:val="0"/>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①10月3</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日前，区疾控中心核对并汇总医疗卫生机构调查表后，上报至市疾控中心；</w:t>
            </w:r>
          </w:p>
          <w:p>
            <w:pPr>
              <w:adjustRightInd w:val="0"/>
              <w:snapToGrid w:val="0"/>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②10月3</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日前，区疾控中心核实监测数据后，将监测数据和工作总结报市疾控中心；</w:t>
            </w:r>
          </w:p>
          <w:p>
            <w:pPr>
              <w:adjustRightInd w:val="0"/>
              <w:snapToGrid w:val="0"/>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③11月5日前，区疾控中心对数据进行复核并完成网上录入。</w:t>
            </w:r>
          </w:p>
        </w:tc>
      </w:tr>
    </w:tbl>
    <w:p>
      <w:pPr>
        <w:snapToGrid w:val="0"/>
        <w:spacing w:line="520" w:lineRule="exact"/>
        <w:ind w:firstLine="640" w:firstLineChars="200"/>
        <w:jc w:val="left"/>
        <w:rPr>
          <w:rFonts w:ascii="楷体_GB2312" w:hAnsi="楷体" w:eastAsia="楷体_GB2312"/>
          <w:color w:val="auto"/>
          <w:sz w:val="32"/>
          <w:szCs w:val="32"/>
        </w:rPr>
      </w:pPr>
      <w:r>
        <w:rPr>
          <w:rFonts w:hint="eastAsia" w:ascii="楷体_GB2312" w:hAnsi="楷体" w:eastAsia="楷体_GB2312" w:cs="楷体_GB2312"/>
          <w:color w:val="auto"/>
          <w:sz w:val="32"/>
          <w:szCs w:val="32"/>
        </w:rPr>
        <w:t>（三）数据报送</w:t>
      </w:r>
    </w:p>
    <w:p>
      <w:pPr>
        <w:snapToGrid w:val="0"/>
        <w:spacing w:line="520" w:lineRule="exact"/>
        <w:ind w:firstLine="640" w:firstLineChars="200"/>
        <w:jc w:val="left"/>
        <w:rPr>
          <w:rFonts w:ascii="仿宋_GB2312" w:eastAsia="仿宋_GB2312"/>
          <w:color w:val="auto"/>
          <w:sz w:val="32"/>
          <w:szCs w:val="32"/>
        </w:rPr>
      </w:pPr>
      <w:r>
        <w:rPr>
          <w:rFonts w:hint="eastAsia" w:ascii="仿宋_GB2312" w:eastAsia="仿宋_GB2312" w:cs="仿宋_GB2312"/>
          <w:color w:val="auto"/>
          <w:sz w:val="32"/>
          <w:szCs w:val="32"/>
        </w:rPr>
        <w:t>各职责单位按上述时间节点报送数据。</w:t>
      </w:r>
    </w:p>
    <w:bookmarkEnd w:id="3"/>
    <w:p>
      <w:pPr>
        <w:snapToGrid w:val="0"/>
        <w:spacing w:line="520" w:lineRule="exact"/>
        <w:ind w:firstLine="640" w:firstLineChars="200"/>
        <w:jc w:val="left"/>
        <w:rPr>
          <w:rFonts w:ascii="楷体_GB2312" w:hAnsi="楷体" w:eastAsia="楷体_GB2312"/>
          <w:color w:val="auto"/>
          <w:sz w:val="32"/>
          <w:szCs w:val="32"/>
          <w:highlight w:val="none"/>
        </w:rPr>
      </w:pPr>
      <w:bookmarkStart w:id="4" w:name="_Hlk14628885"/>
      <w:r>
        <w:rPr>
          <w:rFonts w:hint="eastAsia" w:ascii="楷体_GB2312" w:hAnsi="楷体" w:eastAsia="楷体_GB2312" w:cs="楷体_GB2312"/>
          <w:color w:val="auto"/>
          <w:sz w:val="32"/>
          <w:szCs w:val="32"/>
          <w:highlight w:val="none"/>
        </w:rPr>
        <w:t>（</w:t>
      </w:r>
      <w:r>
        <w:rPr>
          <w:rFonts w:hint="eastAsia" w:ascii="楷体_GB2312" w:hAnsi="楷体" w:eastAsia="楷体_GB2312" w:cs="楷体_GB2312"/>
          <w:color w:val="auto"/>
          <w:sz w:val="32"/>
          <w:szCs w:val="32"/>
          <w:highlight w:val="none"/>
          <w:lang w:eastAsia="zh-CN"/>
        </w:rPr>
        <w:t>四</w:t>
      </w:r>
      <w:r>
        <w:rPr>
          <w:rFonts w:hint="eastAsia" w:ascii="楷体_GB2312" w:hAnsi="楷体" w:eastAsia="楷体_GB2312" w:cs="楷体_GB2312"/>
          <w:color w:val="auto"/>
          <w:sz w:val="32"/>
          <w:szCs w:val="32"/>
          <w:highlight w:val="none"/>
        </w:rPr>
        <w:t>）质量控制</w:t>
      </w:r>
    </w:p>
    <w:p>
      <w:pPr>
        <w:snapToGrid w:val="0"/>
        <w:spacing w:line="52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区卫生健康委加强对项目的组织管理，严格按项目要求和技术规范落实工作，定期组织开展对项目执行进度、完成质量等情况的指导检查。</w:t>
      </w:r>
    </w:p>
    <w:p>
      <w:pPr>
        <w:snapToGrid w:val="0"/>
        <w:spacing w:line="52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区</w:t>
      </w:r>
      <w:r>
        <w:rPr>
          <w:rFonts w:hint="eastAsia" w:ascii="仿宋_GB2312" w:eastAsia="仿宋_GB2312" w:cs="仿宋_GB2312"/>
          <w:color w:val="auto"/>
          <w:sz w:val="32"/>
          <w:szCs w:val="32"/>
          <w:highlight w:val="none"/>
          <w:lang w:eastAsia="zh-CN"/>
        </w:rPr>
        <w:t>疾控中心应依据国家有关职业病防治法律、法规和技术标准、规范，合法合规开展监测工作，确保检测操作程序规范，检测结果科学可靠。如检测结果有异常，应组织人员进行现场复核和验证，重大质量问题及时向区卫生健康委报告。对不符合逻辑的调查表数据，应要求医疗机构对数据进行核实，核实无误后上报。按时组织人员通过全国放射卫生信息平台进行监测数据的填报。</w:t>
      </w:r>
    </w:p>
    <w:p>
      <w:pPr>
        <w:snapToGrid w:val="0"/>
        <w:spacing w:line="52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各医疗卫生机构</w:t>
      </w:r>
      <w:r>
        <w:rPr>
          <w:rFonts w:hint="eastAsia" w:ascii="仿宋_GB2312" w:eastAsia="仿宋_GB2312" w:cs="仿宋_GB2312"/>
          <w:color w:val="auto"/>
          <w:sz w:val="32"/>
          <w:szCs w:val="32"/>
          <w:highlight w:val="none"/>
          <w:lang w:eastAsia="zh-CN"/>
        </w:rPr>
        <w:t>应按要求如实填写调查表，注意数据录入环节的校验，减少数据差错和中间环节，保证数据报送的准确性。</w:t>
      </w:r>
    </w:p>
    <w:p>
      <w:pPr>
        <w:snapToGrid w:val="0"/>
        <w:spacing w:line="520" w:lineRule="atLeast"/>
        <w:jc w:val="left"/>
        <w:rPr>
          <w:rFonts w:ascii="仿宋_GB2312" w:eastAsia="仿宋_GB2312"/>
          <w:color w:val="auto"/>
          <w:sz w:val="32"/>
          <w:szCs w:val="32"/>
        </w:rPr>
      </w:pPr>
    </w:p>
    <w:p>
      <w:pPr>
        <w:snapToGrid w:val="0"/>
        <w:spacing w:line="520" w:lineRule="exact"/>
        <w:ind w:firstLine="640" w:firstLineChars="200"/>
        <w:jc w:val="left"/>
        <w:rPr>
          <w:rFonts w:hint="eastAsia" w:ascii="仿宋_GB2312" w:eastAsia="仿宋_GB2312" w:cs="仿宋_GB2312"/>
          <w:color w:val="auto"/>
          <w:sz w:val="32"/>
          <w:szCs w:val="32"/>
        </w:rPr>
      </w:pPr>
      <w:r>
        <w:rPr>
          <w:rFonts w:hint="eastAsia" w:ascii="仿宋_GB2312" w:eastAsia="仿宋_GB2312" w:cs="仿宋_GB2312"/>
          <w:color w:val="auto"/>
          <w:sz w:val="32"/>
          <w:szCs w:val="32"/>
        </w:rPr>
        <w:t>附表：1．放射诊疗机构基本情况调查表</w:t>
      </w:r>
    </w:p>
    <w:p>
      <w:pPr>
        <w:snapToGrid w:val="0"/>
        <w:spacing w:line="520" w:lineRule="exact"/>
        <w:ind w:firstLine="1600" w:firstLineChars="500"/>
        <w:jc w:val="left"/>
        <w:rPr>
          <w:rFonts w:hint="eastAsia" w:ascii="仿宋_GB2312" w:eastAsia="仿宋_GB2312" w:cs="仿宋_GB2312"/>
          <w:color w:val="auto"/>
          <w:sz w:val="32"/>
          <w:szCs w:val="32"/>
        </w:rPr>
      </w:pPr>
      <w:r>
        <w:rPr>
          <w:rFonts w:hint="eastAsia" w:ascii="仿宋_GB2312" w:eastAsia="仿宋_GB2312" w:cs="仿宋_GB2312"/>
          <w:color w:val="auto"/>
          <w:sz w:val="32"/>
          <w:szCs w:val="32"/>
        </w:rPr>
        <w:t>2．医疗卫生机构开展放射诊疗频度调查记录表</w:t>
      </w:r>
    </w:p>
    <w:bookmarkEnd w:id="4"/>
    <w:p>
      <w:pPr>
        <w:adjustRightInd w:val="0"/>
        <w:snapToGrid w:val="0"/>
        <w:spacing w:line="360" w:lineRule="auto"/>
        <w:outlineLvl w:val="1"/>
        <w:rPr>
          <w:rFonts w:hint="default" w:ascii="黑体" w:hAnsi="黑体" w:eastAsia="黑体" w:cs="黑体"/>
          <w:b w:val="0"/>
          <w:bCs w:val="0"/>
          <w:color w:val="auto"/>
          <w:sz w:val="32"/>
          <w:szCs w:val="32"/>
          <w:lang w:val="en-US"/>
        </w:rPr>
      </w:pPr>
      <w:r>
        <w:rPr>
          <w:rFonts w:cs="Times New Roman"/>
          <w:color w:val="auto"/>
          <w:sz w:val="32"/>
          <w:szCs w:val="32"/>
        </w:rPr>
        <w:br w:type="page"/>
      </w:r>
      <w:r>
        <w:rPr>
          <w:rFonts w:hint="eastAsia" w:ascii="黑体" w:hAnsi="黑体" w:eastAsia="黑体" w:cs="黑体"/>
          <w:b w:val="0"/>
          <w:bCs w:val="0"/>
          <w:color w:val="auto"/>
          <w:sz w:val="32"/>
          <w:szCs w:val="32"/>
        </w:rPr>
        <w:t>附</w:t>
      </w:r>
      <w:r>
        <w:rPr>
          <w:rFonts w:hint="eastAsia" w:ascii="黑体" w:hAnsi="黑体" w:eastAsia="黑体" w:cs="黑体"/>
          <w:b w:val="0"/>
          <w:bCs w:val="0"/>
          <w:color w:val="auto"/>
          <w:sz w:val="32"/>
          <w:szCs w:val="32"/>
          <w:lang w:eastAsia="zh-CN"/>
        </w:rPr>
        <w:t>表</w:t>
      </w:r>
      <w:r>
        <w:rPr>
          <w:rFonts w:hint="eastAsia" w:ascii="黑体" w:hAnsi="黑体" w:eastAsia="黑体" w:cs="黑体"/>
          <w:b w:val="0"/>
          <w:bCs w:val="0"/>
          <w:color w:val="auto"/>
          <w:sz w:val="32"/>
          <w:szCs w:val="32"/>
          <w:lang w:val="en-US" w:eastAsia="zh-CN"/>
        </w:rPr>
        <w:t>1</w:t>
      </w:r>
    </w:p>
    <w:p>
      <w:pPr>
        <w:jc w:val="center"/>
        <w:outlineLvl w:val="1"/>
        <w:rPr>
          <w:rFonts w:ascii="宋体" w:hAnsi="宋体" w:eastAsia="宋体" w:cs="仿宋_GB2312"/>
          <w:b/>
          <w:bCs/>
          <w:color w:val="auto"/>
          <w:sz w:val="32"/>
          <w:szCs w:val="32"/>
          <w:highlight w:val="none"/>
        </w:rPr>
      </w:pPr>
      <w:r>
        <w:rPr>
          <w:rFonts w:hint="eastAsia" w:ascii="宋体" w:hAnsi="宋体" w:eastAsia="宋体" w:cs="仿宋_GB2312"/>
          <w:b/>
          <w:bCs/>
          <w:color w:val="auto"/>
          <w:sz w:val="32"/>
          <w:szCs w:val="32"/>
        </w:rPr>
        <w:t>放射诊疗机构基本情况调查表</w:t>
      </w:r>
    </w:p>
    <w:p>
      <w:pPr>
        <w:rPr>
          <w:rFonts w:ascii="仿宋_GB2312" w:hAnsi="宋体" w:eastAsia="仿宋_GB2312" w:cs="仿宋_GB2312"/>
          <w:color w:val="auto"/>
          <w:sz w:val="24"/>
          <w:szCs w:val="18"/>
        </w:rPr>
      </w:pPr>
    </w:p>
    <w:p>
      <w:pPr>
        <w:keepNext w:val="0"/>
        <w:keepLines w:val="0"/>
        <w:pageBreakBefore w:val="0"/>
        <w:widowControl w:val="0"/>
        <w:kinsoku/>
        <w:wordWrap/>
        <w:overflowPunct/>
        <w:topLinePunct w:val="0"/>
        <w:autoSpaceDE/>
        <w:autoSpaceDN/>
        <w:bidi w:val="0"/>
        <w:snapToGrid/>
        <w:spacing w:line="300" w:lineRule="auto"/>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医疗机构名称：</w:t>
      </w:r>
    </w:p>
    <w:p>
      <w:pPr>
        <w:keepNext w:val="0"/>
        <w:keepLines w:val="0"/>
        <w:pageBreakBefore w:val="0"/>
        <w:widowControl w:val="0"/>
        <w:kinsoku/>
        <w:wordWrap/>
        <w:overflowPunct/>
        <w:topLinePunct w:val="0"/>
        <w:autoSpaceDE/>
        <w:autoSpaceDN/>
        <w:bidi w:val="0"/>
        <w:snapToGrid/>
        <w:spacing w:line="300" w:lineRule="auto"/>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医疗机构等级：□级□等</w:t>
      </w:r>
      <w:r>
        <w:rPr>
          <w:rFonts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rPr>
        <w:t>□未定级</w:t>
      </w:r>
    </w:p>
    <w:p>
      <w:pPr>
        <w:keepNext w:val="0"/>
        <w:keepLines w:val="0"/>
        <w:pageBreakBefore w:val="0"/>
        <w:widowControl w:val="0"/>
        <w:kinsoku/>
        <w:wordWrap/>
        <w:overflowPunct/>
        <w:topLinePunct w:val="0"/>
        <w:autoSpaceDE/>
        <w:autoSpaceDN/>
        <w:bidi w:val="0"/>
        <w:snapToGrid/>
        <w:spacing w:line="300" w:lineRule="auto"/>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医疗机构执业许可证发证机关级别：□省</w:t>
      </w:r>
      <w:r>
        <w:rPr>
          <w:rFonts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rPr>
        <w:t>□市</w:t>
      </w:r>
    </w:p>
    <w:p>
      <w:pPr>
        <w:keepNext w:val="0"/>
        <w:keepLines w:val="0"/>
        <w:pageBreakBefore w:val="0"/>
        <w:widowControl w:val="0"/>
        <w:kinsoku/>
        <w:wordWrap/>
        <w:overflowPunct/>
        <w:topLinePunct w:val="0"/>
        <w:autoSpaceDE/>
        <w:autoSpaceDN/>
        <w:bidi w:val="0"/>
        <w:snapToGrid/>
        <w:spacing w:line="300" w:lineRule="auto"/>
        <w:rPr>
          <w:rFonts w:ascii="仿宋" w:hAnsi="仿宋" w:eastAsia="仿宋"/>
          <w:color w:val="auto"/>
          <w:sz w:val="24"/>
          <w:highlight w:val="none"/>
        </w:rPr>
      </w:pPr>
      <w:r>
        <w:rPr>
          <w:rFonts w:hint="eastAsia" w:ascii="仿宋" w:hAnsi="仿宋" w:eastAsia="仿宋" w:cs="仿宋_GB2312"/>
          <w:color w:val="auto"/>
          <w:sz w:val="24"/>
          <w:szCs w:val="18"/>
          <w:highlight w:val="none"/>
        </w:rPr>
        <w:t>单位组织机构代码（或社会信用代码）：</w:t>
      </w:r>
      <w:r>
        <w:rPr>
          <w:rFonts w:hint="eastAsia" w:ascii="仿宋" w:hAnsi="仿宋" w:eastAsia="仿宋" w:cs="仿宋_GB2312"/>
          <w:color w:val="auto"/>
          <w:sz w:val="24"/>
          <w:szCs w:val="18"/>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snapToGrid/>
        <w:spacing w:line="300" w:lineRule="auto"/>
        <w:ind w:left="0" w:leftChars="0" w:firstLine="0" w:firstLineChars="0"/>
        <w:rPr>
          <w:rFonts w:hint="default"/>
          <w:color w:val="auto"/>
          <w:highlight w:val="none"/>
          <w:lang w:val="en-US"/>
        </w:rPr>
      </w:pPr>
      <w:r>
        <w:rPr>
          <w:rFonts w:hint="eastAsia" w:ascii="仿宋" w:hAnsi="仿宋" w:eastAsia="仿宋" w:cs="仿宋_GB2312"/>
          <w:color w:val="auto"/>
          <w:sz w:val="24"/>
          <w:szCs w:val="18"/>
          <w:highlight w:val="none"/>
          <w:lang w:eastAsia="zh-CN"/>
        </w:rPr>
        <w:t>放射诊疗开展情况：</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lang w:eastAsia="zh-CN"/>
        </w:rPr>
        <w:t>放射诊断</w:t>
      </w:r>
      <w:r>
        <w:rPr>
          <w:rFonts w:hint="eastAsia" w:ascii="仿宋" w:hAnsi="仿宋" w:eastAsia="仿宋" w:cs="仿宋_GB2312"/>
          <w:color w:val="auto"/>
          <w:sz w:val="24"/>
          <w:szCs w:val="18"/>
          <w:highlight w:val="none"/>
          <w:lang w:val="en-US" w:eastAsia="zh-CN"/>
        </w:rPr>
        <w:t xml:space="preserve"> </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lang w:eastAsia="zh-CN"/>
        </w:rPr>
        <w:t>放射治疗</w:t>
      </w:r>
      <w:r>
        <w:rPr>
          <w:rFonts w:hint="eastAsia" w:ascii="仿宋" w:hAnsi="仿宋" w:eastAsia="仿宋" w:cs="仿宋_GB2312"/>
          <w:color w:val="auto"/>
          <w:sz w:val="24"/>
          <w:szCs w:val="18"/>
          <w:highlight w:val="none"/>
          <w:lang w:val="en-US" w:eastAsia="zh-CN"/>
        </w:rPr>
        <w:t xml:space="preserve"> </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lang w:eastAsia="zh-CN"/>
        </w:rPr>
        <w:t>核医学</w:t>
      </w:r>
      <w:r>
        <w:rPr>
          <w:rFonts w:hint="eastAsia" w:ascii="仿宋" w:hAnsi="仿宋" w:eastAsia="仿宋" w:cs="仿宋_GB2312"/>
          <w:color w:val="auto"/>
          <w:sz w:val="24"/>
          <w:szCs w:val="18"/>
          <w:highlight w:val="none"/>
          <w:lang w:val="en-US" w:eastAsia="zh-CN"/>
        </w:rPr>
        <w:t xml:space="preserve"> </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lang w:eastAsia="zh-CN"/>
        </w:rPr>
        <w:t>介入放射学</w:t>
      </w:r>
    </w:p>
    <w:p>
      <w:pPr>
        <w:keepNext w:val="0"/>
        <w:keepLines w:val="0"/>
        <w:pageBreakBefore w:val="0"/>
        <w:widowControl w:val="0"/>
        <w:kinsoku/>
        <w:wordWrap/>
        <w:overflowPunct/>
        <w:topLinePunct w:val="0"/>
        <w:autoSpaceDE/>
        <w:autoSpaceDN/>
        <w:bidi w:val="0"/>
        <w:snapToGrid/>
        <w:spacing w:line="300" w:lineRule="auto"/>
        <w:rPr>
          <w:rFonts w:hint="eastAsia" w:ascii="仿宋" w:hAnsi="仿宋" w:eastAsia="仿宋" w:cs="仿宋_GB2312"/>
          <w:color w:val="auto"/>
          <w:sz w:val="24"/>
          <w:szCs w:val="18"/>
          <w:highlight w:val="none"/>
          <w:u w:val="single"/>
        </w:rPr>
      </w:pPr>
      <w:r>
        <w:rPr>
          <w:rFonts w:hint="eastAsia" w:ascii="仿宋" w:hAnsi="仿宋" w:eastAsia="仿宋" w:cs="仿宋_GB2312"/>
          <w:color w:val="auto"/>
          <w:sz w:val="24"/>
          <w:szCs w:val="18"/>
          <w:highlight w:val="none"/>
        </w:rPr>
        <w:t>地址：</w:t>
      </w:r>
      <w:r>
        <w:rPr>
          <w:rFonts w:hint="eastAsia" w:ascii="仿宋" w:hAnsi="仿宋" w:eastAsia="仿宋" w:cs="仿宋_GB2312"/>
          <w:color w:val="auto"/>
          <w:sz w:val="24"/>
          <w:szCs w:val="18"/>
          <w:highlight w:val="none"/>
          <w:u w:val="single"/>
        </w:rPr>
        <w:t xml:space="preserve">     北京  市    </w:t>
      </w:r>
      <w:r>
        <w:rPr>
          <w:rFonts w:hint="eastAsia" w:ascii="仿宋" w:hAnsi="仿宋" w:eastAsia="仿宋" w:cs="仿宋_GB2312"/>
          <w:color w:val="auto"/>
          <w:sz w:val="24"/>
          <w:szCs w:val="18"/>
          <w:highlight w:val="none"/>
          <w:u w:val="single"/>
          <w:lang w:val="en-US" w:eastAsia="zh-CN"/>
        </w:rPr>
        <w:t xml:space="preserve"> </w:t>
      </w:r>
      <w:r>
        <w:rPr>
          <w:rFonts w:hint="eastAsia" w:ascii="仿宋" w:hAnsi="仿宋" w:eastAsia="仿宋" w:cs="仿宋_GB2312"/>
          <w:color w:val="auto"/>
          <w:sz w:val="24"/>
          <w:szCs w:val="18"/>
          <w:highlight w:val="none"/>
          <w:u w:val="single"/>
        </w:rPr>
        <w:t xml:space="preserve">  区                              </w:t>
      </w:r>
    </w:p>
    <w:p>
      <w:pPr>
        <w:pStyle w:val="2"/>
        <w:keepNext w:val="0"/>
        <w:keepLines w:val="0"/>
        <w:pageBreakBefore w:val="0"/>
        <w:widowControl w:val="0"/>
        <w:kinsoku/>
        <w:wordWrap/>
        <w:overflowPunct/>
        <w:topLinePunct w:val="0"/>
        <w:autoSpaceDE/>
        <w:autoSpaceDN/>
        <w:bidi w:val="0"/>
        <w:snapToGrid/>
        <w:spacing w:line="300" w:lineRule="auto"/>
        <w:ind w:left="0" w:leftChars="0" w:firstLine="0" w:firstLineChars="0"/>
        <w:rPr>
          <w:rFonts w:hint="default" w:eastAsia="仿宋"/>
          <w:color w:val="auto"/>
          <w:highlight w:val="none"/>
          <w:lang w:val="en-US" w:eastAsia="zh-CN"/>
        </w:rPr>
      </w:pPr>
      <w:r>
        <w:rPr>
          <w:rFonts w:hint="eastAsia" w:ascii="仿宋" w:hAnsi="仿宋" w:eastAsia="仿宋" w:cs="仿宋_GB2312"/>
          <w:color w:val="auto"/>
          <w:sz w:val="24"/>
          <w:szCs w:val="18"/>
          <w:highlight w:val="none"/>
        </w:rPr>
        <w:t>医疗机构</w:t>
      </w:r>
      <w:r>
        <w:rPr>
          <w:rFonts w:hint="eastAsia" w:ascii="仿宋" w:hAnsi="仿宋" w:eastAsia="仿宋" w:cs="仿宋_GB2312"/>
          <w:color w:val="auto"/>
          <w:sz w:val="24"/>
          <w:szCs w:val="18"/>
          <w:highlight w:val="none"/>
          <w:lang w:eastAsia="zh-CN"/>
        </w:rPr>
        <w:t>联系人</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u w:val="single"/>
          <w:lang w:val="en-US" w:eastAsia="zh-CN"/>
        </w:rPr>
        <w:t xml:space="preserve">              </w:t>
      </w:r>
      <w:r>
        <w:rPr>
          <w:rFonts w:hint="eastAsia" w:ascii="仿宋" w:hAnsi="仿宋" w:eastAsia="仿宋" w:cs="仿宋_GB2312"/>
          <w:color w:val="auto"/>
          <w:sz w:val="24"/>
          <w:szCs w:val="18"/>
          <w:highlight w:val="none"/>
          <w:lang w:val="en-US" w:eastAsia="zh-CN"/>
        </w:rPr>
        <w:t>，联系电话：</w:t>
      </w:r>
      <w:r>
        <w:rPr>
          <w:rFonts w:hint="eastAsia" w:ascii="仿宋" w:hAnsi="仿宋" w:eastAsia="仿宋" w:cs="仿宋_GB2312"/>
          <w:color w:val="auto"/>
          <w:sz w:val="24"/>
          <w:szCs w:val="18"/>
          <w:highlight w:val="none"/>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300" w:lineRule="auto"/>
        <w:rPr>
          <w:rFonts w:ascii="黑体" w:hAnsi="黑体" w:eastAsia="黑体"/>
          <w:color w:val="auto"/>
          <w:sz w:val="24"/>
          <w:szCs w:val="18"/>
          <w:highlight w:val="none"/>
        </w:rPr>
      </w:pPr>
      <w:r>
        <w:rPr>
          <w:rFonts w:hint="eastAsia" w:ascii="黑体" w:hAnsi="黑体" w:eastAsia="黑体" w:cs="仿宋_GB2312"/>
          <w:color w:val="auto"/>
          <w:sz w:val="24"/>
          <w:szCs w:val="18"/>
          <w:highlight w:val="none"/>
        </w:rPr>
        <w:t>一、基本情况</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b/>
          <w:color w:val="auto"/>
          <w:sz w:val="24"/>
          <w:szCs w:val="18"/>
          <w:highlight w:val="none"/>
        </w:rPr>
      </w:pPr>
      <w:r>
        <w:rPr>
          <w:rFonts w:hint="eastAsia" w:ascii="仿宋" w:hAnsi="仿宋" w:eastAsia="仿宋" w:cs="仿宋_GB2312"/>
          <w:color w:val="auto"/>
          <w:sz w:val="24"/>
          <w:szCs w:val="18"/>
          <w:highlight w:val="none"/>
        </w:rPr>
        <w:t>在岗全部职工人数</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□□人；其中放射工作人员人数</w:t>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□□人</w:t>
      </w:r>
    </w:p>
    <w:p>
      <w:pPr>
        <w:keepNext w:val="0"/>
        <w:keepLines w:val="0"/>
        <w:pageBreakBefore w:val="0"/>
        <w:widowControl w:val="0"/>
        <w:kinsoku/>
        <w:wordWrap/>
        <w:overflowPunct/>
        <w:topLinePunct w:val="0"/>
        <w:autoSpaceDE/>
        <w:autoSpaceDN/>
        <w:bidi w:val="0"/>
        <w:snapToGrid/>
        <w:spacing w:line="300" w:lineRule="auto"/>
        <w:rPr>
          <w:rFonts w:ascii="黑体" w:hAnsi="黑体" w:eastAsia="黑体" w:cs="仿宋_GB2312"/>
          <w:color w:val="auto"/>
          <w:sz w:val="24"/>
          <w:szCs w:val="18"/>
          <w:highlight w:val="none"/>
        </w:rPr>
      </w:pPr>
      <w:r>
        <w:rPr>
          <w:rFonts w:hint="eastAsia" w:ascii="黑体" w:hAnsi="黑体" w:eastAsia="黑体" w:cs="仿宋_GB2312"/>
          <w:color w:val="auto"/>
          <w:sz w:val="24"/>
          <w:szCs w:val="18"/>
          <w:highlight w:val="none"/>
        </w:rPr>
        <w:t>二、放射诊疗设备、防护配套设备和工作人员数</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olor w:val="auto"/>
          <w:sz w:val="24"/>
          <w:szCs w:val="18"/>
          <w:highlight w:val="none"/>
          <w:lang w:val="en-US" w:eastAsia="zh-CN"/>
        </w:rPr>
        <w:t xml:space="preserve">1  </w:t>
      </w:r>
      <w:r>
        <w:rPr>
          <w:rFonts w:ascii="仿宋" w:hAnsi="仿宋" w:eastAsia="仿宋"/>
          <w:color w:val="auto"/>
          <w:sz w:val="24"/>
          <w:szCs w:val="18"/>
          <w:highlight w:val="none"/>
        </w:rPr>
        <w:t>X</w:t>
      </w:r>
      <w:r>
        <w:rPr>
          <w:rFonts w:hint="eastAsia" w:ascii="仿宋" w:hAnsi="仿宋" w:eastAsia="仿宋"/>
          <w:color w:val="auto"/>
          <w:sz w:val="24"/>
          <w:szCs w:val="18"/>
          <w:highlight w:val="none"/>
        </w:rPr>
        <w:t>射线影像诊断</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olor w:val="auto"/>
          <w:sz w:val="24"/>
          <w:szCs w:val="18"/>
          <w:highlight w:val="none"/>
          <w:lang w:val="en-US" w:eastAsia="zh-CN"/>
        </w:rPr>
        <w:t>1.1</w:t>
      </w:r>
      <w:r>
        <w:rPr>
          <w:rFonts w:hint="eastAsia" w:ascii="仿宋" w:hAnsi="仿宋" w:eastAsia="仿宋"/>
          <w:color w:val="auto"/>
          <w:sz w:val="24"/>
          <w:szCs w:val="18"/>
          <w:highlight w:val="none"/>
        </w:rPr>
        <w:t>设备情况</w:t>
      </w:r>
    </w:p>
    <w:p>
      <w:pPr>
        <w:keepNext w:val="0"/>
        <w:keepLines w:val="0"/>
        <w:pageBreakBefore w:val="0"/>
        <w:widowControl w:val="0"/>
        <w:kinsoku/>
        <w:wordWrap/>
        <w:overflowPunct/>
        <w:topLinePunct w:val="0"/>
        <w:autoSpaceDE/>
        <w:autoSpaceDN/>
        <w:bidi w:val="0"/>
        <w:snapToGrid/>
        <w:spacing w:line="300" w:lineRule="auto"/>
        <w:ind w:firstLine="420"/>
        <w:rPr>
          <w:rFonts w:hint="eastAsia"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val="en-US" w:eastAsia="zh-CN"/>
        </w:rPr>
        <w:t>X射线摄影机</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屏片</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数字</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w:t>
      </w:r>
      <w:r>
        <w:rPr>
          <w:rFonts w:ascii="仿宋" w:hAnsi="仿宋" w:eastAsia="仿宋" w:cs="仿宋_GB2312"/>
          <w:color w:val="auto"/>
          <w:sz w:val="24"/>
          <w:szCs w:val="18"/>
          <w:highlight w:val="none"/>
        </w:rPr>
        <w:t>DR</w:t>
      </w:r>
      <w:r>
        <w:rPr>
          <w:rFonts w:hint="eastAsia" w:ascii="仿宋" w:hAnsi="仿宋" w:eastAsia="仿宋" w:cs="仿宋_GB2312"/>
          <w:color w:val="auto"/>
          <w:sz w:val="24"/>
          <w:szCs w:val="18"/>
          <w:highlight w:val="none"/>
        </w:rPr>
        <w: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计算机</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w:t>
      </w:r>
      <w:r>
        <w:rPr>
          <w:rFonts w:ascii="仿宋" w:hAnsi="仿宋" w:eastAsia="仿宋" w:cs="仿宋_GB2312"/>
          <w:color w:val="auto"/>
          <w:sz w:val="24"/>
          <w:szCs w:val="18"/>
          <w:highlight w:val="none"/>
        </w:rPr>
        <w:t>(CR)</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hint="eastAsia"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val="en-US" w:eastAsia="zh-CN"/>
        </w:rPr>
        <w:t>X射线透视机</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直接荧光屏透视机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影像增强器透视机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平板探测器透视机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hint="default"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eastAsia="zh-CN"/>
        </w:rPr>
        <w:t>乳腺</w:t>
      </w:r>
      <w:r>
        <w:rPr>
          <w:rFonts w:hint="eastAsia" w:ascii="仿宋" w:hAnsi="仿宋" w:eastAsia="仿宋" w:cs="仿宋_GB2312"/>
          <w:color w:val="auto"/>
          <w:sz w:val="24"/>
          <w:szCs w:val="18"/>
          <w:highlight w:val="none"/>
          <w:lang w:val="en-US" w:eastAsia="zh-CN"/>
        </w:rPr>
        <w:t>X射线机</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乳腺屏片</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乳腺数字</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射线摄影机（乳腺</w:t>
      </w:r>
      <w:r>
        <w:rPr>
          <w:rFonts w:ascii="仿宋" w:hAnsi="仿宋" w:eastAsia="仿宋" w:cs="仿宋_GB2312"/>
          <w:color w:val="auto"/>
          <w:sz w:val="24"/>
          <w:szCs w:val="18"/>
          <w:highlight w:val="none"/>
        </w:rPr>
        <w:t>DR</w:t>
      </w:r>
      <w:r>
        <w:rPr>
          <w:rFonts w:hint="eastAsia" w:ascii="仿宋" w:hAnsi="仿宋" w:eastAsia="仿宋" w:cs="仿宋_GB2312"/>
          <w:color w:val="auto"/>
          <w:sz w:val="24"/>
          <w:szCs w:val="18"/>
          <w:highlight w:val="none"/>
        </w:rPr>
        <w: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乳腺计算机</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射线摄影机（乳腺</w:t>
      </w:r>
      <w:r>
        <w:rPr>
          <w:rFonts w:ascii="仿宋" w:hAnsi="仿宋" w:eastAsia="仿宋" w:cs="仿宋_GB2312"/>
          <w:color w:val="auto"/>
          <w:sz w:val="24"/>
          <w:szCs w:val="18"/>
          <w:highlight w:val="none"/>
        </w:rPr>
        <w:t>CR</w:t>
      </w:r>
      <w:r>
        <w:rPr>
          <w:rFonts w:hint="eastAsia" w:ascii="仿宋" w:hAnsi="仿宋" w:eastAsia="仿宋" w:cs="仿宋_GB2312"/>
          <w:color w:val="auto"/>
          <w:sz w:val="24"/>
          <w:szCs w:val="18"/>
          <w:highlight w:val="none"/>
        </w:rPr>
        <w: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hint="default"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eastAsia="zh-CN"/>
        </w:rPr>
        <w:t>乳腺</w:t>
      </w:r>
      <w:r>
        <w:rPr>
          <w:rFonts w:hint="eastAsia" w:ascii="仿宋" w:hAnsi="仿宋" w:eastAsia="仿宋" w:cs="仿宋_GB2312"/>
          <w:color w:val="auto"/>
          <w:sz w:val="24"/>
          <w:szCs w:val="18"/>
          <w:highlight w:val="none"/>
          <w:lang w:val="en-US" w:eastAsia="zh-CN"/>
        </w:rPr>
        <w:t>CBCT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hint="default"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eastAsia="zh-CN"/>
        </w:rPr>
        <w:t>牙科</w:t>
      </w:r>
      <w:r>
        <w:rPr>
          <w:rFonts w:hint="eastAsia" w:ascii="仿宋" w:hAnsi="仿宋" w:eastAsia="仿宋" w:cs="仿宋_GB2312"/>
          <w:color w:val="auto"/>
          <w:sz w:val="24"/>
          <w:szCs w:val="18"/>
          <w:highlight w:val="none"/>
          <w:lang w:val="en-US" w:eastAsia="zh-CN"/>
        </w:rPr>
        <w:t>X射线机</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口内牙科机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全景牙科机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hint="eastAsia"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牙科CT机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720" w:firstLineChars="300"/>
        <w:rPr>
          <w:rFonts w:hint="eastAsia"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牙科</w:t>
      </w:r>
      <w:r>
        <w:rPr>
          <w:rFonts w:hint="eastAsia" w:ascii="仿宋" w:hAnsi="仿宋" w:eastAsia="仿宋" w:cs="仿宋_GB2312"/>
          <w:color w:val="auto"/>
          <w:sz w:val="24"/>
          <w:szCs w:val="18"/>
          <w:highlight w:val="none"/>
          <w:lang w:eastAsia="zh-CN"/>
        </w:rPr>
        <w:t>四合一设备</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计算机</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射线断层扫描设备（</w:t>
      </w:r>
      <w:r>
        <w:rPr>
          <w:rFonts w:ascii="仿宋" w:hAnsi="仿宋" w:eastAsia="仿宋" w:cs="仿宋_GB2312"/>
          <w:color w:val="auto"/>
          <w:sz w:val="24"/>
          <w:szCs w:val="18"/>
          <w:highlight w:val="none"/>
        </w:rPr>
        <w:t>CT</w:t>
      </w:r>
      <w:r>
        <w:rPr>
          <w:rFonts w:hint="eastAsia" w:ascii="仿宋" w:hAnsi="仿宋" w:eastAsia="仿宋" w:cs="仿宋_GB2312"/>
          <w:color w:val="auto"/>
          <w:sz w:val="24"/>
          <w:szCs w:val="18"/>
          <w:highlight w:val="none"/>
        </w:rPr>
        <w: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骨密度仪</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其他设备□□台（主要包括：</w:t>
      </w:r>
      <w:r>
        <w:rPr>
          <w:rFonts w:hint="eastAsia" w:ascii="仿宋" w:hAnsi="仿宋" w:eastAsia="仿宋" w:cs="仿宋_GB2312"/>
          <w:color w:val="auto"/>
          <w:sz w:val="24"/>
          <w:szCs w:val="18"/>
          <w:highlight w:val="none"/>
          <w:lang w:val="en-US" w:eastAsia="zh-CN"/>
        </w:rPr>
        <w:t xml:space="preserve">                  </w:t>
      </w:r>
      <w:r>
        <w:rPr>
          <w:rFonts w:hint="eastAsia" w:ascii="仿宋" w:hAnsi="仿宋" w:eastAsia="仿宋" w:cs="仿宋_GB2312"/>
          <w:color w:val="auto"/>
          <w:sz w:val="24"/>
          <w:szCs w:val="18"/>
          <w:highlight w:val="none"/>
        </w:rPr>
        <w:t>）</w:t>
      </w:r>
    </w:p>
    <w:p>
      <w:pPr>
        <w:keepNext w:val="0"/>
        <w:keepLines w:val="0"/>
        <w:pageBreakBefore w:val="0"/>
        <w:widowControl w:val="0"/>
        <w:kinsoku/>
        <w:wordWrap/>
        <w:overflowPunct/>
        <w:topLinePunct w:val="0"/>
        <w:autoSpaceDE/>
        <w:autoSpaceDN/>
        <w:bidi w:val="0"/>
        <w:snapToGrid/>
        <w:spacing w:line="300" w:lineRule="auto"/>
        <w:rPr>
          <w:rFonts w:ascii="仿宋" w:hAnsi="仿宋" w:eastAsia="仿宋" w:cs="仿宋_GB2312"/>
          <w:bCs/>
          <w:color w:val="auto"/>
          <w:sz w:val="24"/>
          <w:szCs w:val="18"/>
          <w:highlight w:val="none"/>
        </w:rPr>
      </w:pPr>
      <w:r>
        <w:rPr>
          <w:rFonts w:hint="eastAsia" w:ascii="仿宋" w:hAnsi="仿宋" w:eastAsia="仿宋" w:cs="仿宋_GB2312"/>
          <w:bCs/>
          <w:color w:val="auto"/>
          <w:sz w:val="24"/>
          <w:szCs w:val="18"/>
          <w:highlight w:val="none"/>
        </w:rPr>
        <w:t>注：1</w:t>
      </w:r>
      <w:r>
        <w:rPr>
          <w:rFonts w:hint="eastAsia" w:ascii="仿宋" w:hAnsi="仿宋" w:eastAsia="仿宋" w:cs="仿宋_GB2312"/>
          <w:bCs/>
          <w:color w:val="auto"/>
          <w:sz w:val="24"/>
          <w:szCs w:val="18"/>
          <w:highlight w:val="none"/>
          <w:lang w:val="en-US" w:eastAsia="zh-CN"/>
        </w:rPr>
        <w:t>.</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射线摄影机包括固定式拍片机和移动拍片机等，根据不同成像类型，分类到屏片X射线摄影机、数字X射线摄影机（DR）、和计算机X射线摄影机(CR)</w:t>
      </w:r>
      <w:r>
        <w:rPr>
          <w:rFonts w:hint="eastAsia" w:ascii="仿宋" w:hAnsi="仿宋" w:eastAsia="仿宋" w:cs="仿宋_GB2312"/>
          <w:bCs/>
          <w:color w:val="auto"/>
          <w:sz w:val="24"/>
          <w:szCs w:val="18"/>
          <w:highlight w:val="none"/>
        </w:rPr>
        <w:t>。</w:t>
      </w:r>
    </w:p>
    <w:p>
      <w:pPr>
        <w:keepNext w:val="0"/>
        <w:keepLines w:val="0"/>
        <w:pageBreakBefore w:val="0"/>
        <w:widowControl w:val="0"/>
        <w:kinsoku/>
        <w:wordWrap/>
        <w:overflowPunct/>
        <w:topLinePunct w:val="0"/>
        <w:autoSpaceDE/>
        <w:autoSpaceDN/>
        <w:bidi w:val="0"/>
        <w:snapToGrid/>
        <w:spacing w:line="300" w:lineRule="auto"/>
        <w:ind w:firstLine="420"/>
        <w:rPr>
          <w:rFonts w:hint="default" w:ascii="仿宋" w:hAnsi="仿宋" w:eastAsia="仿宋" w:cs="仿宋_GB2312"/>
          <w:bCs/>
          <w:color w:val="auto"/>
          <w:sz w:val="24"/>
          <w:szCs w:val="18"/>
          <w:highlight w:val="none"/>
          <w:lang w:val="en-US" w:eastAsia="zh-CN"/>
        </w:rPr>
      </w:pPr>
      <w:r>
        <w:rPr>
          <w:rFonts w:hint="eastAsia" w:ascii="仿宋" w:hAnsi="仿宋" w:eastAsia="仿宋" w:cs="仿宋_GB2312"/>
          <w:bCs/>
          <w:color w:val="auto"/>
          <w:sz w:val="24"/>
          <w:szCs w:val="18"/>
          <w:highlight w:val="none"/>
        </w:rPr>
        <w:t>2</w:t>
      </w:r>
      <w:r>
        <w:rPr>
          <w:rFonts w:hint="default" w:ascii="仿宋" w:hAnsi="仿宋" w:eastAsia="仿宋" w:cs="仿宋_GB2312"/>
          <w:bCs/>
          <w:color w:val="auto"/>
          <w:sz w:val="24"/>
          <w:szCs w:val="18"/>
          <w:highlight w:val="none"/>
          <w:lang w:val="en" w:eastAsia="zh-CN"/>
        </w:rPr>
        <w:t>.</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w:t>
      </w:r>
      <w:r>
        <w:rPr>
          <w:rFonts w:hint="eastAsia" w:ascii="仿宋" w:hAnsi="仿宋" w:eastAsia="仿宋" w:cs="仿宋_GB2312"/>
          <w:bCs/>
          <w:color w:val="auto"/>
          <w:sz w:val="24"/>
          <w:szCs w:val="18"/>
          <w:highlight w:val="none"/>
        </w:rPr>
        <w:t>透视机包括门诊（急诊）检查用透视机、碎石机、胃肠机、C形臂X射线机等</w:t>
      </w:r>
      <w:r>
        <w:rPr>
          <w:rFonts w:hint="eastAsia" w:ascii="仿宋" w:hAnsi="仿宋" w:eastAsia="仿宋" w:cs="仿宋_GB2312"/>
          <w:color w:val="auto"/>
          <w:sz w:val="24"/>
          <w:szCs w:val="18"/>
          <w:highlight w:val="none"/>
        </w:rPr>
        <w:t>，根据不同成像类型，分为直接荧光屏透视机、影像增强器透视机、平板探测器透视机</w:t>
      </w:r>
      <w:r>
        <w:rPr>
          <w:rFonts w:hint="eastAsia" w:ascii="仿宋" w:hAnsi="仿宋" w:eastAsia="仿宋" w:cs="仿宋_GB2312"/>
          <w:bCs/>
          <w:color w:val="auto"/>
          <w:sz w:val="24"/>
          <w:szCs w:val="18"/>
          <w:highlight w:val="none"/>
        </w:rPr>
        <w:t>。</w:t>
      </w:r>
      <w:r>
        <w:rPr>
          <w:rFonts w:hint="eastAsia" w:ascii="仿宋" w:hAnsi="仿宋" w:eastAsia="仿宋" w:cs="仿宋_GB2312"/>
          <w:bCs/>
          <w:color w:val="auto"/>
          <w:sz w:val="24"/>
          <w:szCs w:val="18"/>
          <w:highlight w:val="none"/>
          <w:lang w:eastAsia="zh-CN"/>
        </w:rPr>
        <w:t>不包括用于介入诊疗的</w:t>
      </w:r>
      <w:r>
        <w:rPr>
          <w:rFonts w:hint="eastAsia" w:ascii="仿宋" w:hAnsi="仿宋" w:eastAsia="仿宋" w:cs="仿宋_GB2312"/>
          <w:bCs/>
          <w:color w:val="auto"/>
          <w:sz w:val="24"/>
          <w:szCs w:val="18"/>
          <w:highlight w:val="none"/>
          <w:lang w:val="en-US" w:eastAsia="zh-CN"/>
        </w:rPr>
        <w:t>C形臂X射线机。</w:t>
      </w:r>
    </w:p>
    <w:p>
      <w:pPr>
        <w:keepNext w:val="0"/>
        <w:keepLines w:val="0"/>
        <w:pageBreakBefore w:val="0"/>
        <w:widowControl w:val="0"/>
        <w:numPr>
          <w:ilvl w:val="0"/>
          <w:numId w:val="0"/>
        </w:numPr>
        <w:kinsoku/>
        <w:wordWrap/>
        <w:overflowPunct/>
        <w:topLinePunct w:val="0"/>
        <w:autoSpaceDE/>
        <w:autoSpaceDN/>
        <w:bidi w:val="0"/>
        <w:adjustRightInd w:val="0"/>
        <w:snapToGrid/>
        <w:spacing w:before="156" w:beforeLines="50"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1.2</w:t>
      </w:r>
      <w:r>
        <w:rPr>
          <w:rFonts w:hint="eastAsia" w:ascii="仿宋" w:hAnsi="仿宋" w:eastAsia="仿宋" w:cs="仿宋_GB2312"/>
          <w:color w:val="auto"/>
          <w:sz w:val="24"/>
          <w:szCs w:val="18"/>
          <w:highlight w:val="none"/>
        </w:rPr>
        <w:t>防护设备配备情况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辐射巡测仪□□台</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1.3</w:t>
      </w:r>
      <w:r>
        <w:rPr>
          <w:rFonts w:hint="eastAsia" w:ascii="仿宋" w:hAnsi="仿宋" w:eastAsia="仿宋" w:cs="仿宋_GB2312"/>
          <w:color w:val="auto"/>
          <w:sz w:val="24"/>
          <w:szCs w:val="18"/>
          <w:highlight w:val="none"/>
        </w:rPr>
        <w:t>防护用品配备情况</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铅橡胶围裙（）件，铅橡胶帽子（）件，铅橡胶颈套（）件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铅橡胶手套（）副，铅防护眼镜（）件，铅防护屏风（）件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olor w:val="auto"/>
          <w:sz w:val="24"/>
          <w:szCs w:val="18"/>
          <w:highlight w:val="none"/>
        </w:rPr>
      </w:pPr>
      <w:r>
        <w:rPr>
          <w:rFonts w:hint="eastAsia" w:ascii="仿宋" w:hAnsi="仿宋" w:eastAsia="仿宋" w:cs="仿宋_GB2312"/>
          <w:color w:val="auto"/>
          <w:sz w:val="24"/>
          <w:szCs w:val="18"/>
          <w:highlight w:val="none"/>
        </w:rPr>
        <w:t>其他防护用品□□（主要包括：</w:t>
      </w:r>
      <w:r>
        <w:rPr>
          <w:rFonts w:hint="eastAsia" w:ascii="仿宋" w:hAnsi="仿宋" w:eastAsia="仿宋" w:cs="仿宋_GB2312"/>
          <w:color w:val="auto"/>
          <w:sz w:val="24"/>
          <w:szCs w:val="18"/>
          <w:highlight w:val="none"/>
          <w:u w:val="single"/>
        </w:rPr>
        <w:t xml:space="preserve">                 </w:t>
      </w:r>
      <w:r>
        <w:rPr>
          <w:rFonts w:hint="eastAsia" w:ascii="仿宋" w:hAnsi="仿宋" w:eastAsia="仿宋" w:cs="仿宋_GB2312"/>
          <w:color w:val="auto"/>
          <w:sz w:val="24"/>
          <w:szCs w:val="18"/>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1.4</w:t>
      </w:r>
      <w:r>
        <w:rPr>
          <w:rFonts w:hint="eastAsia" w:ascii="仿宋" w:hAnsi="仿宋" w:eastAsia="仿宋" w:cs="仿宋_GB2312"/>
          <w:color w:val="auto"/>
          <w:sz w:val="24"/>
          <w:szCs w:val="18"/>
          <w:highlight w:val="none"/>
        </w:rPr>
        <w:t>人员配置情况</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u w:val="single"/>
        </w:rPr>
      </w:pPr>
      <w:r>
        <w:rPr>
          <w:rFonts w:hint="eastAsia" w:ascii="仿宋" w:hAnsi="仿宋" w:eastAsia="仿宋" w:cs="仿宋_GB2312"/>
          <w:color w:val="auto"/>
          <w:sz w:val="24"/>
          <w:szCs w:val="18"/>
          <w:highlight w:val="none"/>
        </w:rPr>
        <w:t>放射工作人员人数□□□人，男性□□□人，女性□□□人</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宋体" w:hAnsi="宋体" w:cs="宋体"/>
          <w:b/>
          <w:bCs/>
          <w:color w:val="auto"/>
          <w:sz w:val="24"/>
          <w:szCs w:val="18"/>
          <w:highlight w:val="none"/>
          <w:lang w:val="en-US" w:eastAsia="zh-CN"/>
        </w:rPr>
        <w:t xml:space="preserve">2 </w:t>
      </w:r>
      <w:r>
        <w:rPr>
          <w:rFonts w:hint="eastAsia" w:ascii="宋体" w:hAnsi="宋体" w:eastAsia="宋体" w:cs="宋体"/>
          <w:b/>
          <w:bCs/>
          <w:color w:val="auto"/>
          <w:sz w:val="24"/>
          <w:szCs w:val="18"/>
          <w:highlight w:val="none"/>
        </w:rPr>
        <w:t>＊</w:t>
      </w:r>
      <w:r>
        <w:rPr>
          <w:rFonts w:hint="eastAsia" w:ascii="仿宋" w:hAnsi="仿宋" w:eastAsia="仿宋"/>
          <w:color w:val="auto"/>
          <w:sz w:val="24"/>
          <w:szCs w:val="18"/>
          <w:highlight w:val="none"/>
        </w:rPr>
        <w:t>放射治疗</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olor w:val="auto"/>
          <w:sz w:val="24"/>
          <w:szCs w:val="18"/>
          <w:highlight w:val="none"/>
          <w:lang w:val="en-US" w:eastAsia="zh-CN"/>
        </w:rPr>
        <w:t>2.1</w:t>
      </w:r>
      <w:r>
        <w:rPr>
          <w:rFonts w:hint="eastAsia" w:ascii="仿宋" w:hAnsi="仿宋" w:eastAsia="仿宋"/>
          <w:color w:val="auto"/>
          <w:sz w:val="24"/>
          <w:szCs w:val="18"/>
          <w:highlight w:val="none"/>
        </w:rPr>
        <w:t>设备情况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钴</w:t>
      </w:r>
      <w:r>
        <w:rPr>
          <w:rFonts w:ascii="仿宋" w:hAnsi="仿宋" w:eastAsia="仿宋" w:cs="仿宋_GB2312"/>
          <w:color w:val="auto"/>
          <w:sz w:val="24"/>
          <w:szCs w:val="18"/>
          <w:highlight w:val="none"/>
        </w:rPr>
        <w:t>-60</w:t>
      </w:r>
      <w:r>
        <w:rPr>
          <w:rFonts w:hint="eastAsia" w:ascii="仿宋" w:hAnsi="仿宋" w:eastAsia="仿宋" w:cs="仿宋_GB2312"/>
          <w:color w:val="auto"/>
          <w:sz w:val="24"/>
          <w:szCs w:val="18"/>
          <w:highlight w:val="none"/>
          <w:lang w:eastAsia="zh-CN"/>
        </w:rPr>
        <w:t>远距离治疗机</w:t>
      </w:r>
      <w:r>
        <w:rPr>
          <w:rFonts w:hint="eastAsia" w:ascii="仿宋" w:hAnsi="仿宋" w:eastAsia="仿宋" w:cs="仿宋_GB2312"/>
          <w:color w:val="auto"/>
          <w:sz w:val="24"/>
          <w:szCs w:val="18"/>
          <w:highlight w:val="none"/>
        </w:rPr>
        <w:t>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lang w:eastAsia="zh-CN"/>
        </w:rPr>
        <w:t>医用</w:t>
      </w:r>
      <w:r>
        <w:rPr>
          <w:rFonts w:hint="eastAsia" w:ascii="仿宋" w:hAnsi="仿宋" w:eastAsia="仿宋" w:cs="仿宋_GB2312"/>
          <w:color w:val="auto"/>
          <w:sz w:val="24"/>
          <w:szCs w:val="18"/>
          <w:highlight w:val="none"/>
        </w:rPr>
        <w:t>电子</w:t>
      </w:r>
      <w:r>
        <w:rPr>
          <w:rFonts w:hint="eastAsia" w:ascii="仿宋" w:hAnsi="仿宋" w:eastAsia="仿宋" w:cs="仿宋_GB2312"/>
          <w:color w:val="auto"/>
          <w:sz w:val="24"/>
          <w:szCs w:val="18"/>
          <w:highlight w:val="none"/>
          <w:lang w:eastAsia="zh-CN"/>
        </w:rPr>
        <w:t>直线</w:t>
      </w:r>
      <w:r>
        <w:rPr>
          <w:rFonts w:hint="eastAsia" w:ascii="仿宋" w:hAnsi="仿宋" w:eastAsia="仿宋" w:cs="仿宋_GB2312"/>
          <w:color w:val="auto"/>
          <w:sz w:val="24"/>
          <w:szCs w:val="18"/>
          <w:highlight w:val="none"/>
        </w:rPr>
        <w:t>加速器</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4" w:firstLineChars="177"/>
        <w:rPr>
          <w:rFonts w:ascii="仿宋" w:hAnsi="仿宋" w:eastAsia="仿宋" w:cs="仿宋_GB2312"/>
          <w:color w:val="auto"/>
          <w:sz w:val="24"/>
          <w:szCs w:val="18"/>
          <w:highlight w:val="none"/>
        </w:rPr>
      </w:pP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刀</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头部伽玛刀</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体部伽玛刀</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后装</w:t>
      </w:r>
      <w:r>
        <w:rPr>
          <w:rFonts w:hint="eastAsia" w:ascii="仿宋" w:hAnsi="仿宋" w:eastAsia="仿宋" w:cs="仿宋_GB2312"/>
          <w:color w:val="auto"/>
          <w:sz w:val="24"/>
          <w:szCs w:val="18"/>
          <w:highlight w:val="none"/>
          <w:lang w:eastAsia="zh-CN"/>
        </w:rPr>
        <w:t>治疗</w:t>
      </w:r>
      <w:r>
        <w:rPr>
          <w:rFonts w:hint="eastAsia" w:ascii="仿宋" w:hAnsi="仿宋" w:eastAsia="仿宋" w:cs="仿宋_GB2312"/>
          <w:color w:val="auto"/>
          <w:sz w:val="24"/>
          <w:szCs w:val="18"/>
          <w:highlight w:val="none"/>
        </w:rPr>
        <w:t>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w:t>
      </w:r>
      <w:r>
        <w:rPr>
          <w:rFonts w:hint="eastAsia" w:ascii="仿宋" w:hAnsi="仿宋" w:eastAsia="仿宋" w:cs="仿宋_GB2312"/>
          <w:color w:val="auto"/>
          <w:sz w:val="24"/>
          <w:szCs w:val="18"/>
          <w:highlight w:val="none"/>
          <w:lang w:eastAsia="zh-CN"/>
        </w:rPr>
        <w:t>治疗</w:t>
      </w:r>
      <w:r>
        <w:rPr>
          <w:rFonts w:hint="eastAsia" w:ascii="仿宋" w:hAnsi="仿宋" w:eastAsia="仿宋" w:cs="仿宋_GB2312"/>
          <w:color w:val="auto"/>
          <w:sz w:val="24"/>
          <w:szCs w:val="18"/>
          <w:highlight w:val="none"/>
        </w:rPr>
        <w:t>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射波刀</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中子后装机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质子加速器</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重粒子加速器</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电子回旋加速器</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硼中子俘获治疗设备</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其他设备□□台（主要包括：</w:t>
      </w:r>
      <w:r>
        <w:rPr>
          <w:rFonts w:hint="eastAsia" w:ascii="仿宋" w:hAnsi="仿宋" w:eastAsia="仿宋" w:cs="仿宋_GB2312"/>
          <w:color w:val="auto"/>
          <w:sz w:val="24"/>
          <w:szCs w:val="18"/>
          <w:highlight w:val="none"/>
          <w:lang w:val="en-US" w:eastAsia="zh-CN"/>
        </w:rPr>
        <w:t xml:space="preserve">                             </w:t>
      </w:r>
      <w:r>
        <w:rPr>
          <w:rFonts w:hint="eastAsia" w:ascii="仿宋" w:hAnsi="仿宋" w:eastAsia="仿宋" w:cs="仿宋_GB2312"/>
          <w:color w:val="auto"/>
          <w:sz w:val="24"/>
          <w:szCs w:val="18"/>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2.2</w:t>
      </w:r>
      <w:r>
        <w:rPr>
          <w:rFonts w:hint="eastAsia" w:ascii="仿宋" w:hAnsi="仿宋" w:eastAsia="仿宋" w:cs="仿宋_GB2312"/>
          <w:color w:val="auto"/>
          <w:sz w:val="24"/>
          <w:szCs w:val="18"/>
          <w:highlight w:val="none"/>
        </w:rPr>
        <w:t>防护设备配备情况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个人剂量报警仪□□台，辐射巡测仪□□台</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2.3</w:t>
      </w:r>
      <w:r>
        <w:rPr>
          <w:rFonts w:hint="eastAsia" w:ascii="仿宋" w:hAnsi="仿宋" w:eastAsia="仿宋" w:cs="仿宋_GB2312"/>
          <w:color w:val="auto"/>
          <w:sz w:val="24"/>
          <w:szCs w:val="18"/>
          <w:highlight w:val="none"/>
        </w:rPr>
        <w:t>稳定性监测及设备情况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u w:val="single"/>
        </w:rPr>
      </w:pPr>
      <w:r>
        <w:rPr>
          <w:rFonts w:hint="eastAsia" w:ascii="仿宋" w:hAnsi="仿宋" w:eastAsia="仿宋" w:cs="仿宋_GB2312"/>
          <w:color w:val="auto"/>
          <w:sz w:val="24"/>
          <w:szCs w:val="18"/>
          <w:highlight w:val="none"/>
        </w:rPr>
        <w:t>是否开展稳定性监测</w:t>
      </w:r>
      <w:r>
        <w:rPr>
          <w:rFonts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rPr>
        <w:t>是□；否□</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hint="eastAsia"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配备</w:t>
      </w:r>
      <w:r>
        <w:rPr>
          <w:rFonts w:hint="eastAsia" w:ascii="仿宋" w:hAnsi="仿宋" w:eastAsia="仿宋" w:cs="仿宋_GB2312"/>
          <w:color w:val="auto"/>
          <w:sz w:val="24"/>
          <w:szCs w:val="18"/>
          <w:highlight w:val="none"/>
          <w:lang w:eastAsia="zh-CN"/>
        </w:rPr>
        <w:t>放疗设备剂量测量的</w:t>
      </w:r>
      <w:r>
        <w:rPr>
          <w:rFonts w:hint="eastAsia" w:ascii="仿宋" w:hAnsi="仿宋" w:eastAsia="仿宋" w:cs="仿宋_GB2312"/>
          <w:color w:val="auto"/>
          <w:sz w:val="24"/>
          <w:szCs w:val="18"/>
          <w:highlight w:val="none"/>
        </w:rPr>
        <w:t>剂量仪数量□□台；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剂量扫描装置（二维或三维水箱）□□套</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2.4</w:t>
      </w:r>
      <w:r>
        <w:rPr>
          <w:rFonts w:hint="eastAsia" w:ascii="仿宋" w:hAnsi="仿宋" w:eastAsia="仿宋" w:cs="仿宋_GB2312"/>
          <w:color w:val="auto"/>
          <w:sz w:val="24"/>
          <w:szCs w:val="18"/>
          <w:highlight w:val="none"/>
        </w:rPr>
        <w:t>人员配置情况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专职医学物理人员□□□人</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兼职医学物理人员□□□人</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lang w:eastAsia="zh-CN"/>
        </w:rPr>
        <w:t>医学物理人员开展稳定性监测的周期</w:t>
      </w:r>
      <w:r>
        <w:rPr>
          <w:rFonts w:ascii="仿宋" w:hAnsi="仿宋" w:eastAsia="仿宋" w:cs="仿宋_GB2312"/>
          <w:color w:val="auto"/>
          <w:sz w:val="24"/>
          <w:szCs w:val="18"/>
          <w:highlight w:val="none"/>
          <w:lang w:eastAsia="zh-CN"/>
        </w:rPr>
        <w:t>:</w:t>
      </w:r>
      <w:r>
        <w:rPr>
          <w:rFonts w:hint="eastAsia" w:ascii="仿宋" w:hAnsi="仿宋" w:eastAsia="仿宋" w:cs="仿宋_GB2312"/>
          <w:color w:val="auto"/>
          <w:sz w:val="24"/>
          <w:szCs w:val="18"/>
          <w:highlight w:val="none"/>
          <w:lang w:eastAsia="zh-CN"/>
        </w:rPr>
        <w:t>（</w:t>
      </w:r>
      <w:r>
        <w:rPr>
          <w:rFonts w:hint="eastAsia" w:ascii="仿宋" w:hAnsi="仿宋" w:eastAsia="仿宋" w:cs="仿宋_GB2312"/>
          <w:color w:val="auto"/>
          <w:sz w:val="24"/>
          <w:szCs w:val="18"/>
          <w:highlight w:val="none"/>
          <w:lang w:val="en-US" w:eastAsia="zh-CN"/>
        </w:rPr>
        <w:t xml:space="preserve"> </w:t>
      </w:r>
      <w:r>
        <w:rPr>
          <w:rFonts w:hint="eastAsia" w:ascii="仿宋" w:hAnsi="仿宋" w:eastAsia="仿宋" w:cs="仿宋_GB2312"/>
          <w:color w:val="auto"/>
          <w:sz w:val="24"/>
          <w:szCs w:val="18"/>
          <w:highlight w:val="none"/>
          <w:lang w:eastAsia="zh-CN"/>
        </w:rPr>
        <w:t>）周</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放射工作人员人数□□□人，男性□□□人，女性□□□人</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宋体" w:hAnsi="宋体" w:cs="宋体"/>
          <w:b/>
          <w:bCs/>
          <w:color w:val="auto"/>
          <w:sz w:val="24"/>
          <w:szCs w:val="18"/>
          <w:highlight w:val="none"/>
          <w:lang w:val="en-US" w:eastAsia="zh-CN"/>
        </w:rPr>
        <w:t xml:space="preserve">3 </w:t>
      </w:r>
      <w:r>
        <w:rPr>
          <w:rFonts w:hint="eastAsia" w:ascii="宋体" w:hAnsi="宋体" w:eastAsia="宋体" w:cs="宋体"/>
          <w:b/>
          <w:bCs/>
          <w:color w:val="auto"/>
          <w:sz w:val="24"/>
          <w:szCs w:val="18"/>
          <w:highlight w:val="none"/>
        </w:rPr>
        <w:t>＊</w:t>
      </w:r>
      <w:r>
        <w:rPr>
          <w:rFonts w:hint="eastAsia" w:ascii="仿宋" w:hAnsi="仿宋" w:eastAsia="仿宋"/>
          <w:color w:val="auto"/>
          <w:sz w:val="24"/>
          <w:szCs w:val="18"/>
          <w:highlight w:val="none"/>
        </w:rPr>
        <w:t>核医学</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olor w:val="auto"/>
          <w:sz w:val="24"/>
          <w:szCs w:val="18"/>
          <w:highlight w:val="none"/>
          <w:lang w:val="en-US" w:eastAsia="zh-CN"/>
        </w:rPr>
        <w:t>3.1</w:t>
      </w:r>
      <w:r>
        <w:rPr>
          <w:rFonts w:hint="eastAsia" w:ascii="仿宋" w:hAnsi="仿宋" w:eastAsia="仿宋"/>
          <w:color w:val="auto"/>
          <w:sz w:val="24"/>
          <w:szCs w:val="18"/>
          <w:highlight w:val="none"/>
        </w:rPr>
        <w:t>设备情况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ascii="仿宋" w:hAnsi="仿宋" w:eastAsia="仿宋" w:cs="仿宋_GB2312"/>
          <w:color w:val="auto"/>
          <w:sz w:val="24"/>
          <w:szCs w:val="18"/>
          <w:highlight w:val="none"/>
        </w:rPr>
        <w:t>PET/CT</w:t>
      </w:r>
      <w:r>
        <w:rPr>
          <w:rFonts w:hint="eastAsia" w:ascii="仿宋" w:hAnsi="仿宋" w:eastAsia="仿宋" w:cs="仿宋_GB2312"/>
          <w:color w:val="auto"/>
          <w:sz w:val="24"/>
          <w:szCs w:val="18"/>
          <w:highlight w:val="none"/>
        </w:rPr>
        <w:t>（</w:t>
      </w:r>
      <w:r>
        <w:rPr>
          <w:rFonts w:ascii="仿宋" w:hAnsi="仿宋" w:eastAsia="仿宋" w:cs="仿宋_GB2312"/>
          <w:color w:val="auto"/>
          <w:sz w:val="24"/>
          <w:szCs w:val="18"/>
          <w:highlight w:val="none"/>
        </w:rPr>
        <w:t>PET)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□□台（生产厂家：    型号：   安装日期：）</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ascii="仿宋" w:hAnsi="仿宋" w:eastAsia="仿宋" w:cs="仿宋_GB2312"/>
          <w:color w:val="auto"/>
          <w:sz w:val="24"/>
          <w:szCs w:val="18"/>
          <w:highlight w:val="none"/>
        </w:rPr>
        <w:t>SPECT/CT(SPECT)</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□□台（生产厂家：    型号：   安装日期：）</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hint="default"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val="en-US" w:eastAsia="zh-CN"/>
        </w:rPr>
        <w:t>PET/MR</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□□台（生产厂家：    型号：   安装日期：）</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回旋加速器</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□□台（生产厂家：    型号：   安装日期：）</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伽玛照相机</w:t>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ascii="仿宋" w:hAnsi="仿宋" w:eastAsia="仿宋" w:cs="仿宋_GB2312"/>
          <w:color w:val="auto"/>
          <w:sz w:val="24"/>
          <w:szCs w:val="18"/>
          <w:highlight w:val="none"/>
        </w:rPr>
        <w:tab/>
      </w:r>
      <w:r>
        <w:rPr>
          <w:rFonts w:hint="eastAsia" w:ascii="仿宋" w:hAnsi="仿宋" w:eastAsia="仿宋" w:cs="仿宋_GB2312"/>
          <w:color w:val="auto"/>
          <w:sz w:val="24"/>
          <w:szCs w:val="18"/>
          <w:highlight w:val="none"/>
        </w:rPr>
        <w:t>□□台（生产厂家：    型号：   安装日期：）</w:t>
      </w:r>
    </w:p>
    <w:p>
      <w:pPr>
        <w:keepNext w:val="0"/>
        <w:keepLines w:val="0"/>
        <w:pageBreakBefore w:val="0"/>
        <w:widowControl w:val="0"/>
        <w:tabs>
          <w:tab w:val="left" w:pos="2552"/>
        </w:tabs>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其他设备□□台（主要包括：         ）</w:t>
      </w:r>
    </w:p>
    <w:p>
      <w:pPr>
        <w:keepNext w:val="0"/>
        <w:keepLines w:val="0"/>
        <w:pageBreakBefore w:val="0"/>
        <w:widowControl w:val="0"/>
        <w:kinsoku/>
        <w:wordWrap/>
        <w:overflowPunct/>
        <w:topLinePunct w:val="0"/>
        <w:autoSpaceDE/>
        <w:autoSpaceDN/>
        <w:bidi w:val="0"/>
        <w:snapToGrid/>
        <w:spacing w:line="300" w:lineRule="auto"/>
        <w:rPr>
          <w:rFonts w:ascii="仿宋" w:hAnsi="仿宋" w:eastAsia="仿宋"/>
          <w:bCs/>
          <w:color w:val="auto"/>
          <w:sz w:val="24"/>
          <w:szCs w:val="18"/>
          <w:highlight w:val="none"/>
        </w:rPr>
      </w:pPr>
      <w:r>
        <w:rPr>
          <w:rFonts w:hint="eastAsia" w:ascii="仿宋" w:hAnsi="仿宋" w:eastAsia="仿宋" w:cs="仿宋_GB2312"/>
          <w:bCs/>
          <w:color w:val="auto"/>
          <w:sz w:val="24"/>
          <w:szCs w:val="18"/>
          <w:highlight w:val="none"/>
        </w:rPr>
        <w:t>注：设备台数多于1台的，厂家和型号依次列出，中间用逗号分隔。安装日期精确到年。</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3.2</w:t>
      </w:r>
      <w:r>
        <w:rPr>
          <w:rFonts w:hint="eastAsia" w:ascii="仿宋" w:hAnsi="仿宋" w:eastAsia="仿宋" w:cs="仿宋_GB2312"/>
          <w:color w:val="auto"/>
          <w:sz w:val="24"/>
          <w:szCs w:val="18"/>
          <w:highlight w:val="none"/>
        </w:rPr>
        <w:t>防护设备配备情况</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表面污染仪□□台，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放射性活度计□□台</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vertAlign w:val="superscript"/>
        </w:rPr>
        <w:t>18</w:t>
      </w:r>
      <w:r>
        <w:rPr>
          <w:rFonts w:hint="eastAsia" w:ascii="仿宋" w:hAnsi="仿宋" w:eastAsia="仿宋" w:cs="仿宋_GB2312"/>
          <w:color w:val="auto"/>
          <w:sz w:val="24"/>
          <w:szCs w:val="18"/>
          <w:highlight w:val="none"/>
        </w:rPr>
        <w:t>F自动分装设备□□台（生产厂家：    型号：    ）</w:t>
      </w:r>
    </w:p>
    <w:p>
      <w:pPr>
        <w:keepNext w:val="0"/>
        <w:keepLines w:val="0"/>
        <w:pageBreakBefore w:val="0"/>
        <w:widowControl w:val="0"/>
        <w:kinsoku/>
        <w:wordWrap/>
        <w:overflowPunct/>
        <w:topLinePunct w:val="0"/>
        <w:autoSpaceDE/>
        <w:autoSpaceDN/>
        <w:bidi w:val="0"/>
        <w:snapToGrid/>
        <w:spacing w:line="300" w:lineRule="auto"/>
        <w:ind w:firstLine="417" w:firstLineChars="17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vertAlign w:val="superscript"/>
        </w:rPr>
        <w:t>131</w:t>
      </w:r>
      <w:r>
        <w:rPr>
          <w:rFonts w:hint="eastAsia" w:ascii="仿宋" w:hAnsi="仿宋" w:eastAsia="仿宋" w:cs="仿宋_GB2312"/>
          <w:color w:val="auto"/>
          <w:sz w:val="24"/>
          <w:szCs w:val="18"/>
          <w:highlight w:val="none"/>
        </w:rPr>
        <w:t>I自动分装设备□□台（生产厂家：    型号：    ）</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3.3</w:t>
      </w:r>
      <w:r>
        <w:rPr>
          <w:rFonts w:hint="eastAsia" w:ascii="仿宋" w:hAnsi="仿宋" w:eastAsia="仿宋" w:cs="仿宋_GB2312"/>
          <w:color w:val="auto"/>
          <w:sz w:val="24"/>
          <w:szCs w:val="18"/>
          <w:highlight w:val="none"/>
        </w:rPr>
        <w:t>防护用品配备情况</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铅橡胶围裙（）件，铅橡胶帽子（）件，铅橡胶颈套（）件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铅橡胶手套（）副，铅防护眼镜（）件，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其他（）件，包括（）</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3.4</w:t>
      </w:r>
      <w:r>
        <w:rPr>
          <w:rFonts w:hint="eastAsia" w:ascii="仿宋" w:hAnsi="仿宋" w:eastAsia="仿宋" w:cs="仿宋_GB2312"/>
          <w:color w:val="auto"/>
          <w:sz w:val="24"/>
          <w:szCs w:val="18"/>
          <w:highlight w:val="none"/>
        </w:rPr>
        <w:t>质控稳定性监测及设备情况</w:t>
      </w:r>
    </w:p>
    <w:p>
      <w:pPr>
        <w:keepNext w:val="0"/>
        <w:keepLines w:val="0"/>
        <w:pageBreakBefore w:val="0"/>
        <w:widowControl w:val="0"/>
        <w:kinsoku/>
        <w:wordWrap/>
        <w:overflowPunct/>
        <w:topLinePunct w:val="0"/>
        <w:autoSpaceDE/>
        <w:autoSpaceDN/>
        <w:bidi w:val="0"/>
        <w:snapToGrid/>
        <w:spacing w:line="300" w:lineRule="auto"/>
        <w:ind w:firstLine="537" w:firstLineChars="224"/>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是否</w:t>
      </w:r>
      <w:r>
        <w:rPr>
          <w:rFonts w:hint="eastAsia" w:ascii="仿宋" w:hAnsi="仿宋" w:eastAsia="仿宋" w:cs="仿宋_GB2312"/>
          <w:color w:val="auto"/>
          <w:sz w:val="24"/>
          <w:szCs w:val="18"/>
          <w:highlight w:val="none"/>
          <w:lang w:eastAsia="zh-CN"/>
        </w:rPr>
        <w:t>按照</w:t>
      </w:r>
      <w:r>
        <w:rPr>
          <w:rFonts w:hint="eastAsia" w:ascii="仿宋" w:hAnsi="仿宋" w:eastAsia="仿宋" w:cs="仿宋_GB2312"/>
          <w:color w:val="auto"/>
          <w:sz w:val="24"/>
          <w:szCs w:val="18"/>
          <w:highlight w:val="none"/>
          <w:lang w:val="en-US" w:eastAsia="zh-CN"/>
        </w:rPr>
        <w:t>WS523-2019标准</w:t>
      </w:r>
      <w:r>
        <w:rPr>
          <w:rFonts w:hint="eastAsia" w:ascii="仿宋" w:hAnsi="仿宋" w:eastAsia="仿宋" w:cs="仿宋_GB2312"/>
          <w:color w:val="auto"/>
          <w:sz w:val="24"/>
          <w:szCs w:val="18"/>
          <w:highlight w:val="none"/>
        </w:rPr>
        <w:t>开展稳定性监测</w:t>
      </w:r>
      <w:r>
        <w:rPr>
          <w:rFonts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rPr>
        <w:t>是□；否□</w:t>
      </w:r>
    </w:p>
    <w:p>
      <w:pPr>
        <w:keepNext w:val="0"/>
        <w:keepLines w:val="0"/>
        <w:pageBreakBefore w:val="0"/>
        <w:widowControl w:val="0"/>
        <w:kinsoku/>
        <w:wordWrap/>
        <w:overflowPunct/>
        <w:topLinePunct w:val="0"/>
        <w:autoSpaceDE/>
        <w:autoSpaceDN/>
        <w:bidi w:val="0"/>
        <w:snapToGrid/>
        <w:spacing w:line="300" w:lineRule="auto"/>
        <w:ind w:firstLine="537" w:firstLineChars="224"/>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rPr>
        <w:t>质控模体包括：</w:t>
      </w:r>
      <w:r>
        <w:rPr>
          <w:rFonts w:hint="eastAsia" w:ascii="仿宋" w:hAnsi="仿宋" w:eastAsia="仿宋" w:cs="仿宋_GB2312"/>
          <w:color w:val="auto"/>
          <w:sz w:val="24"/>
          <w:szCs w:val="18"/>
          <w:highlight w:val="none"/>
          <w:lang w:eastAsia="zh-CN"/>
        </w:rPr>
        <w:t>狭缝铅栅□，四象限铅栅</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lang w:eastAsia="zh-CN"/>
        </w:rPr>
        <w:t>，灵敏度模体</w:t>
      </w:r>
      <w:r>
        <w:rPr>
          <w:rFonts w:hint="eastAsia" w:ascii="仿宋" w:hAnsi="仿宋" w:eastAsia="仿宋" w:cs="仿宋_GB2312"/>
          <w:color w:val="auto"/>
          <w:sz w:val="24"/>
          <w:szCs w:val="18"/>
          <w:highlight w:val="none"/>
        </w:rPr>
        <w:t>□</w:t>
      </w:r>
    </w:p>
    <w:p>
      <w:pPr>
        <w:keepNext w:val="0"/>
        <w:keepLines w:val="0"/>
        <w:pageBreakBefore w:val="0"/>
        <w:widowControl w:val="0"/>
        <w:kinsoku/>
        <w:wordWrap/>
        <w:overflowPunct/>
        <w:topLinePunct w:val="0"/>
        <w:autoSpaceDE/>
        <w:autoSpaceDN/>
        <w:bidi w:val="0"/>
        <w:snapToGrid/>
        <w:spacing w:line="300" w:lineRule="auto"/>
        <w:ind w:firstLine="537" w:firstLineChars="224"/>
        <w:rPr>
          <w:rFonts w:hint="eastAsia"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rPr>
        <w:t>监测项目包括：</w:t>
      </w:r>
      <w:r>
        <w:rPr>
          <w:rFonts w:hint="eastAsia" w:ascii="仿宋" w:hAnsi="仿宋" w:eastAsia="仿宋" w:cs="仿宋_GB2312"/>
          <w:color w:val="auto"/>
          <w:sz w:val="24"/>
          <w:szCs w:val="18"/>
          <w:highlight w:val="none"/>
          <w:lang w:eastAsia="zh-CN"/>
        </w:rPr>
        <w:t>固有均匀性□</w:t>
      </w:r>
      <w:r>
        <w:rPr>
          <w:rFonts w:hint="eastAsia" w:ascii="仿宋" w:hAnsi="仿宋" w:eastAsia="仿宋" w:cs="仿宋_GB2312"/>
          <w:color w:val="auto"/>
          <w:sz w:val="24"/>
          <w:szCs w:val="18"/>
          <w:highlight w:val="none"/>
          <w:lang w:val="en-US" w:eastAsia="zh-CN"/>
        </w:rPr>
        <w:t xml:space="preserve">         固有空间线性</w:t>
      </w:r>
      <w:r>
        <w:rPr>
          <w:rFonts w:hint="eastAsia" w:ascii="仿宋" w:hAnsi="仿宋" w:eastAsia="仿宋" w:cs="仿宋_GB2312"/>
          <w:color w:val="auto"/>
          <w:sz w:val="24"/>
          <w:szCs w:val="18"/>
          <w:highlight w:val="none"/>
          <w:lang w:eastAsia="zh-CN"/>
        </w:rPr>
        <w:t>□</w:t>
      </w:r>
    </w:p>
    <w:p>
      <w:pPr>
        <w:pStyle w:val="2"/>
        <w:keepNext w:val="0"/>
        <w:keepLines w:val="0"/>
        <w:pageBreakBefore w:val="0"/>
        <w:widowControl w:val="0"/>
        <w:kinsoku/>
        <w:wordWrap/>
        <w:overflowPunct/>
        <w:topLinePunct w:val="0"/>
        <w:autoSpaceDE/>
        <w:autoSpaceDN/>
        <w:bidi w:val="0"/>
        <w:snapToGrid/>
        <w:spacing w:line="300" w:lineRule="auto"/>
        <w:rPr>
          <w:rFonts w:hint="default"/>
          <w:color w:val="auto"/>
          <w:highlight w:val="none"/>
          <w:lang w:val="en-US" w:eastAsia="zh-CN"/>
        </w:rPr>
      </w:pPr>
      <w:r>
        <w:rPr>
          <w:rFonts w:hint="eastAsia" w:ascii="仿宋" w:hAnsi="仿宋" w:eastAsia="仿宋" w:cs="仿宋_GB2312"/>
          <w:color w:val="auto"/>
          <w:sz w:val="24"/>
          <w:szCs w:val="18"/>
          <w:highlight w:val="none"/>
          <w:lang w:val="en-US" w:eastAsia="zh-CN"/>
        </w:rPr>
        <w:t xml:space="preserve">               固有空间分辨力</w:t>
      </w:r>
      <w:r>
        <w:rPr>
          <w:rFonts w:hint="eastAsia" w:ascii="仿宋" w:hAnsi="仿宋" w:eastAsia="仿宋" w:cs="仿宋_GB2312"/>
          <w:color w:val="auto"/>
          <w:sz w:val="24"/>
          <w:szCs w:val="18"/>
          <w:highlight w:val="none"/>
          <w:lang w:eastAsia="zh-CN"/>
        </w:rPr>
        <w:t>□</w:t>
      </w:r>
      <w:r>
        <w:rPr>
          <w:rFonts w:hint="eastAsia" w:ascii="仿宋" w:hAnsi="仿宋" w:eastAsia="仿宋" w:cs="仿宋_GB2312"/>
          <w:color w:val="auto"/>
          <w:sz w:val="24"/>
          <w:szCs w:val="18"/>
          <w:highlight w:val="none"/>
          <w:lang w:val="en-US" w:eastAsia="zh-CN"/>
        </w:rPr>
        <w:t xml:space="preserve">    固有最大计数率</w:t>
      </w:r>
      <w:r>
        <w:rPr>
          <w:rFonts w:hint="eastAsia" w:ascii="仿宋" w:hAnsi="仿宋" w:eastAsia="仿宋" w:cs="仿宋_GB2312"/>
          <w:color w:val="auto"/>
          <w:sz w:val="24"/>
          <w:szCs w:val="1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3.5</w:t>
      </w:r>
      <w:r>
        <w:rPr>
          <w:rFonts w:hint="eastAsia" w:ascii="仿宋" w:hAnsi="仿宋" w:eastAsia="仿宋" w:cs="仿宋_GB2312"/>
          <w:color w:val="auto"/>
          <w:sz w:val="24"/>
          <w:szCs w:val="18"/>
          <w:highlight w:val="none"/>
        </w:rPr>
        <w:t>人员配置情况</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u w:val="single"/>
        </w:rPr>
      </w:pPr>
      <w:r>
        <w:rPr>
          <w:rFonts w:hint="eastAsia" w:ascii="仿宋" w:hAnsi="仿宋" w:eastAsia="仿宋" w:cs="仿宋_GB2312"/>
          <w:color w:val="auto"/>
          <w:sz w:val="24"/>
          <w:szCs w:val="18"/>
          <w:highlight w:val="none"/>
        </w:rPr>
        <w:t>放射工作人员人数□□□人，男性□□□人，女性□□□人</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olor w:val="auto"/>
          <w:sz w:val="24"/>
          <w:szCs w:val="18"/>
          <w:highlight w:val="none"/>
          <w:lang w:val="en-US" w:eastAsia="zh-CN"/>
        </w:rPr>
        <w:t xml:space="preserve">4 </w:t>
      </w:r>
      <w:r>
        <w:rPr>
          <w:rFonts w:hint="eastAsia" w:ascii="仿宋" w:hAnsi="仿宋" w:eastAsia="仿宋"/>
          <w:color w:val="auto"/>
          <w:sz w:val="24"/>
          <w:szCs w:val="18"/>
          <w:highlight w:val="none"/>
        </w:rPr>
        <w:t>介入放射学</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olor w:val="auto"/>
          <w:sz w:val="24"/>
          <w:szCs w:val="18"/>
          <w:highlight w:val="none"/>
          <w:lang w:val="en-US" w:eastAsia="zh-CN"/>
        </w:rPr>
        <w:t>4.1</w:t>
      </w:r>
      <w:r>
        <w:rPr>
          <w:rFonts w:hint="eastAsia" w:ascii="仿宋" w:hAnsi="仿宋" w:eastAsia="仿宋"/>
          <w:color w:val="auto"/>
          <w:sz w:val="24"/>
          <w:szCs w:val="18"/>
          <w:highlight w:val="none"/>
        </w:rPr>
        <w:t>设备数</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用于介入诊疗的</w:t>
      </w:r>
      <w:r>
        <w:rPr>
          <w:rFonts w:ascii="仿宋" w:hAnsi="仿宋" w:eastAsia="仿宋" w:cs="仿宋_GB2312"/>
          <w:color w:val="auto"/>
          <w:sz w:val="24"/>
          <w:szCs w:val="18"/>
          <w:highlight w:val="none"/>
        </w:rPr>
        <w:t>C</w:t>
      </w:r>
      <w:r>
        <w:rPr>
          <w:rFonts w:hint="eastAsia" w:ascii="仿宋" w:hAnsi="仿宋" w:eastAsia="仿宋" w:cs="仿宋_GB2312"/>
          <w:color w:val="auto"/>
          <w:sz w:val="24"/>
          <w:szCs w:val="18"/>
          <w:highlight w:val="none"/>
        </w:rPr>
        <w:t>型臂</w:t>
      </w: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射线机□□台</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olor w:val="auto"/>
          <w:sz w:val="24"/>
          <w:szCs w:val="18"/>
          <w:highlight w:val="none"/>
        </w:rPr>
      </w:pPr>
      <w:r>
        <w:rPr>
          <w:rFonts w:hint="eastAsia" w:ascii="仿宋" w:hAnsi="仿宋" w:eastAsia="仿宋" w:cs="仿宋_GB2312"/>
          <w:color w:val="auto"/>
          <w:sz w:val="24"/>
          <w:szCs w:val="18"/>
          <w:highlight w:val="none"/>
        </w:rPr>
        <w:t>其他设备□□台（主要包括：      ）</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4.2</w:t>
      </w:r>
      <w:r>
        <w:rPr>
          <w:rFonts w:hint="eastAsia" w:ascii="仿宋" w:hAnsi="仿宋" w:eastAsia="仿宋" w:cs="仿宋_GB2312"/>
          <w:color w:val="auto"/>
          <w:sz w:val="24"/>
          <w:szCs w:val="18"/>
          <w:highlight w:val="none"/>
        </w:rPr>
        <w:t>防护用品配备情况</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铅橡胶围裙（）件，铅橡胶帽子（）件，铅橡胶颈套（）件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铅橡胶手套（）付，铅防护眼镜（）件，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铅悬挂防护屏（）件，防护吊帘（）件，床侧防护帘（）件</w:t>
      </w:r>
    </w:p>
    <w:p>
      <w:pPr>
        <w:keepNext w:val="0"/>
        <w:keepLines w:val="0"/>
        <w:pageBreakBefore w:val="0"/>
        <w:widowControl w:val="0"/>
        <w:kinsoku/>
        <w:wordWrap/>
        <w:overflowPunct/>
        <w:topLinePunct w:val="0"/>
        <w:autoSpaceDE/>
        <w:autoSpaceDN/>
        <w:bidi w:val="0"/>
        <w:snapToGrid/>
        <w:spacing w:line="300" w:lineRule="auto"/>
        <w:ind w:firstLine="420"/>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床侧防护屏（）件，移动防护屏（）件</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auto"/>
        <w:ind w:left="0" w:firstLine="0"/>
        <w:textAlignment w:val="baseline"/>
        <w:rPr>
          <w:rFonts w:ascii="仿宋" w:hAnsi="仿宋" w:eastAsia="仿宋"/>
          <w:color w:val="auto"/>
          <w:sz w:val="24"/>
          <w:szCs w:val="18"/>
          <w:highlight w:val="none"/>
        </w:rPr>
      </w:pPr>
      <w:r>
        <w:rPr>
          <w:rFonts w:hint="eastAsia" w:ascii="仿宋" w:hAnsi="仿宋" w:eastAsia="仿宋" w:cs="仿宋_GB2312"/>
          <w:color w:val="auto"/>
          <w:sz w:val="24"/>
          <w:szCs w:val="18"/>
          <w:highlight w:val="none"/>
          <w:lang w:val="en-US" w:eastAsia="zh-CN"/>
        </w:rPr>
        <w:t>4.3</w:t>
      </w:r>
      <w:r>
        <w:rPr>
          <w:rFonts w:hint="eastAsia" w:ascii="仿宋" w:hAnsi="仿宋" w:eastAsia="仿宋" w:cs="仿宋_GB2312"/>
          <w:color w:val="auto"/>
          <w:sz w:val="24"/>
          <w:szCs w:val="18"/>
          <w:highlight w:val="none"/>
        </w:rPr>
        <w:t>人员配置情况</w:t>
      </w:r>
    </w:p>
    <w:p>
      <w:pPr>
        <w:keepNext w:val="0"/>
        <w:keepLines w:val="0"/>
        <w:pageBreakBefore w:val="0"/>
        <w:widowControl w:val="0"/>
        <w:kinsoku/>
        <w:wordWrap/>
        <w:overflowPunct/>
        <w:topLinePunct w:val="0"/>
        <w:autoSpaceDE/>
        <w:autoSpaceDN/>
        <w:bidi w:val="0"/>
        <w:snapToGrid/>
        <w:spacing w:line="300" w:lineRule="auto"/>
        <w:ind w:firstLine="420"/>
        <w:rPr>
          <w:rFonts w:hint="eastAsia"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放射工作人员人数□□□人，男性□□□人，女性□□□人</w:t>
      </w:r>
    </w:p>
    <w:p>
      <w:pPr>
        <w:pStyle w:val="2"/>
        <w:keepNext w:val="0"/>
        <w:keepLines w:val="0"/>
        <w:pageBreakBefore w:val="0"/>
        <w:widowControl w:val="0"/>
        <w:kinsoku/>
        <w:wordWrap/>
        <w:overflowPunct/>
        <w:topLinePunct w:val="0"/>
        <w:autoSpaceDE/>
        <w:autoSpaceDN/>
        <w:bidi w:val="0"/>
        <w:snapToGrid/>
        <w:spacing w:line="300" w:lineRule="auto"/>
        <w:rPr>
          <w:color w:val="auto"/>
          <w:highlight w:val="none"/>
        </w:rPr>
      </w:pPr>
    </w:p>
    <w:p>
      <w:pPr>
        <w:keepNext w:val="0"/>
        <w:keepLines w:val="0"/>
        <w:pageBreakBefore w:val="0"/>
        <w:widowControl w:val="0"/>
        <w:kinsoku/>
        <w:wordWrap/>
        <w:overflowPunct/>
        <w:topLinePunct w:val="0"/>
        <w:autoSpaceDE/>
        <w:autoSpaceDN/>
        <w:bidi w:val="0"/>
        <w:snapToGrid/>
        <w:spacing w:line="300" w:lineRule="auto"/>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注：</w:t>
      </w:r>
      <w:r>
        <w:rPr>
          <w:rFonts w:hint="eastAsia" w:ascii="仿宋" w:hAnsi="仿宋" w:eastAsia="仿宋" w:cs="仿宋_GB2312"/>
          <w:color w:val="auto"/>
          <w:sz w:val="24"/>
          <w:szCs w:val="18"/>
          <w:highlight w:val="none"/>
        </w:rPr>
        <w:t>＊</w:t>
      </w:r>
      <w:r>
        <w:rPr>
          <w:rFonts w:hint="eastAsia" w:ascii="仿宋" w:hAnsi="仿宋" w:eastAsia="仿宋" w:cs="仿宋_GB2312"/>
          <w:color w:val="auto"/>
          <w:sz w:val="24"/>
          <w:szCs w:val="18"/>
          <w:highlight w:val="none"/>
          <w:lang w:eastAsia="zh-CN"/>
        </w:rPr>
        <w:t>为重点调查项目，填表人应核对相关资料后再填写，省级单位应对数据核实后再上报。</w:t>
      </w:r>
    </w:p>
    <w:p>
      <w:pPr>
        <w:pStyle w:val="2"/>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黑体" w:hAnsi="黑体" w:eastAsia="黑体" w:cs="仿宋_GB2312"/>
          <w:color w:val="auto"/>
          <w:sz w:val="24"/>
          <w:szCs w:val="18"/>
          <w:highlight w:val="none"/>
          <w:lang w:eastAsia="zh-CN"/>
        </w:rPr>
      </w:pPr>
      <w:r>
        <w:rPr>
          <w:rFonts w:hint="eastAsia" w:ascii="黑体" w:hAnsi="黑体" w:eastAsia="黑体" w:cs="仿宋_GB2312"/>
          <w:color w:val="auto"/>
          <w:sz w:val="24"/>
          <w:szCs w:val="18"/>
          <w:highlight w:val="none"/>
          <w:lang w:eastAsia="zh-CN"/>
        </w:rPr>
        <w:t>被调查单位：</w:t>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hint="eastAsia" w:ascii="黑体" w:hAnsi="黑体" w:eastAsia="黑体" w:cs="仿宋_GB2312"/>
          <w:color w:val="auto"/>
          <w:sz w:val="24"/>
          <w:szCs w:val="18"/>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黑体" w:hAnsi="黑体" w:eastAsia="黑体" w:cs="仿宋_GB2312"/>
          <w:color w:val="auto"/>
          <w:sz w:val="24"/>
          <w:szCs w:val="18"/>
          <w:highlight w:val="none"/>
          <w:lang w:eastAsia="zh-CN"/>
        </w:rPr>
      </w:pPr>
      <w:r>
        <w:rPr>
          <w:rFonts w:hint="eastAsia" w:ascii="黑体" w:hAnsi="黑体" w:eastAsia="黑体" w:cs="仿宋_GB2312"/>
          <w:color w:val="auto"/>
          <w:sz w:val="24"/>
          <w:szCs w:val="18"/>
          <w:highlight w:val="none"/>
          <w:lang w:eastAsia="zh-CN"/>
        </w:rPr>
        <w:t>填表人：</w:t>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hint="eastAsia" w:ascii="黑体" w:hAnsi="黑体" w:eastAsia="黑体" w:cs="仿宋_GB2312"/>
          <w:color w:val="auto"/>
          <w:sz w:val="24"/>
          <w:szCs w:val="18"/>
          <w:highlight w:val="none"/>
          <w:u w:val="single"/>
          <w:lang w:eastAsia="zh-CN"/>
        </w:rPr>
        <w:t xml:space="preserve">     </w:t>
      </w:r>
      <w:r>
        <w:rPr>
          <w:rFonts w:ascii="黑体" w:hAnsi="黑体" w:eastAsia="黑体" w:cs="仿宋_GB2312"/>
          <w:color w:val="auto"/>
          <w:sz w:val="24"/>
          <w:szCs w:val="18"/>
          <w:highlight w:val="none"/>
          <w:u w:val="single"/>
          <w:lang w:eastAsia="zh-CN"/>
        </w:rPr>
        <w:tab/>
      </w:r>
      <w:r>
        <w:rPr>
          <w:rFonts w:hint="eastAsia" w:ascii="黑体" w:hAnsi="黑体" w:eastAsia="黑体" w:cs="仿宋_GB2312"/>
          <w:color w:val="auto"/>
          <w:sz w:val="24"/>
          <w:szCs w:val="18"/>
          <w:highlight w:val="none"/>
          <w:u w:val="single"/>
          <w:lang w:eastAsia="zh-CN"/>
        </w:rPr>
        <w:t xml:space="preserve">         </w:t>
      </w:r>
      <w:r>
        <w:rPr>
          <w:rFonts w:hint="eastAsia" w:ascii="黑体" w:hAnsi="黑体" w:eastAsia="黑体" w:cs="仿宋_GB2312"/>
          <w:color w:val="auto"/>
          <w:sz w:val="24"/>
          <w:szCs w:val="18"/>
          <w:highlight w:val="none"/>
          <w:lang w:eastAsia="zh-CN"/>
        </w:rPr>
        <w:t xml:space="preserve">   手机：</w:t>
      </w:r>
      <w:r>
        <w:rPr>
          <w:rFonts w:hint="eastAsia" w:ascii="黑体" w:hAnsi="黑体" w:eastAsia="黑体" w:cs="仿宋_GB2312"/>
          <w:color w:val="auto"/>
          <w:sz w:val="24"/>
          <w:szCs w:val="18"/>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_GB2312" w:hAnsi="宋体" w:eastAsia="仿宋_GB2312" w:cs="仿宋_GB2312"/>
          <w:b/>
          <w:color w:val="auto"/>
          <w:sz w:val="24"/>
          <w:szCs w:val="18"/>
          <w:highlight w:val="none"/>
          <w:lang w:eastAsia="zh-CN"/>
        </w:rPr>
      </w:pPr>
      <w:r>
        <w:rPr>
          <w:rFonts w:hint="eastAsia" w:ascii="黑体" w:hAnsi="黑体" w:eastAsia="黑体" w:cs="仿宋_GB2312"/>
          <w:color w:val="auto"/>
          <w:sz w:val="24"/>
          <w:szCs w:val="18"/>
          <w:highlight w:val="none"/>
          <w:lang w:eastAsia="zh-CN"/>
        </w:rPr>
        <w:t>审核人：</w:t>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hint="eastAsia" w:ascii="黑体" w:hAnsi="黑体" w:eastAsia="黑体" w:cs="仿宋_GB2312"/>
          <w:color w:val="auto"/>
          <w:sz w:val="24"/>
          <w:szCs w:val="18"/>
          <w:highlight w:val="none"/>
          <w:u w:val="single"/>
          <w:lang w:eastAsia="zh-CN"/>
        </w:rPr>
        <w:t xml:space="preserve">            </w:t>
      </w:r>
      <w:r>
        <w:rPr>
          <w:rFonts w:hint="eastAsia" w:ascii="仿宋_GB2312" w:hAnsi="宋体" w:eastAsia="仿宋_GB2312" w:cs="仿宋_GB2312"/>
          <w:color w:val="auto"/>
          <w:sz w:val="24"/>
          <w:szCs w:val="18"/>
          <w:highlight w:val="none"/>
          <w:lang w:eastAsia="zh-CN"/>
        </w:rPr>
        <w:t xml:space="preserve">   </w:t>
      </w:r>
      <w:r>
        <w:rPr>
          <w:rFonts w:hint="eastAsia" w:ascii="黑体" w:hAnsi="黑体" w:eastAsia="黑体" w:cs="仿宋_GB2312"/>
          <w:color w:val="auto"/>
          <w:sz w:val="24"/>
          <w:szCs w:val="18"/>
          <w:highlight w:val="none"/>
          <w:lang w:eastAsia="zh-CN"/>
        </w:rPr>
        <w:t>审核人手机：</w:t>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hint="eastAsia" w:ascii="黑体" w:hAnsi="黑体" w:eastAsia="黑体" w:cs="仿宋_GB2312"/>
          <w:color w:val="auto"/>
          <w:sz w:val="24"/>
          <w:szCs w:val="18"/>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cs="仿宋_GB2312"/>
          <w:bCs/>
          <w:color w:val="auto"/>
          <w:sz w:val="28"/>
          <w:szCs w:val="28"/>
        </w:rPr>
      </w:pPr>
      <w:r>
        <w:rPr>
          <w:rFonts w:hint="eastAsia" w:ascii="黑体" w:hAnsi="黑体" w:eastAsia="黑体" w:cs="仿宋_GB2312"/>
          <w:color w:val="auto"/>
          <w:sz w:val="24"/>
          <w:szCs w:val="18"/>
          <w:highlight w:val="none"/>
          <w:lang w:eastAsia="zh-CN"/>
        </w:rPr>
        <w:t>填报时间：</w:t>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ascii="黑体" w:hAnsi="黑体" w:eastAsia="黑体" w:cs="仿宋_GB2312"/>
          <w:color w:val="auto"/>
          <w:sz w:val="24"/>
          <w:szCs w:val="18"/>
          <w:highlight w:val="none"/>
          <w:u w:val="single"/>
          <w:lang w:eastAsia="zh-CN"/>
        </w:rPr>
        <w:tab/>
      </w:r>
      <w:r>
        <w:rPr>
          <w:rFonts w:hint="eastAsia" w:ascii="黑体" w:hAnsi="黑体" w:eastAsia="黑体" w:cs="仿宋_GB2312"/>
          <w:color w:val="auto"/>
          <w:sz w:val="24"/>
          <w:szCs w:val="18"/>
          <w:highlight w:val="none"/>
          <w:u w:val="single"/>
          <w:lang w:eastAsia="zh-CN"/>
        </w:rPr>
        <w:t xml:space="preserve">             </w:t>
      </w:r>
      <w:r>
        <w:rPr>
          <w:color w:val="auto"/>
          <w:sz w:val="24"/>
          <w:highlight w:val="none"/>
        </w:rPr>
        <w:br w:type="page"/>
      </w:r>
      <w:r>
        <w:rPr>
          <w:rFonts w:hint="eastAsia" w:ascii="黑体" w:hAnsi="黑体" w:eastAsia="黑体" w:cs="仿宋_GB2312"/>
          <w:bCs/>
          <w:color w:val="auto"/>
          <w:sz w:val="32"/>
          <w:szCs w:val="32"/>
        </w:rPr>
        <w:t>附表</w:t>
      </w:r>
      <w:r>
        <w:rPr>
          <w:rFonts w:hint="eastAsia" w:ascii="黑体" w:hAnsi="黑体" w:eastAsia="黑体" w:cs="仿宋_GB2312"/>
          <w:bCs/>
          <w:color w:val="auto"/>
          <w:sz w:val="32"/>
          <w:szCs w:val="32"/>
          <w:lang w:val="en-US" w:eastAsia="zh-CN"/>
        </w:rPr>
        <w:t>2</w:t>
      </w:r>
    </w:p>
    <w:p>
      <w:pPr>
        <w:snapToGrid w:val="0"/>
        <w:ind w:left="2462" w:hanging="2462"/>
        <w:jc w:val="center"/>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医疗卫生机构开展放射诊疗频度调查记录表</w:t>
      </w:r>
    </w:p>
    <w:p>
      <w:pPr>
        <w:spacing w:line="300" w:lineRule="auto"/>
        <w:rPr>
          <w:rFonts w:cs="仿宋_GB2312"/>
          <w:color w:val="auto"/>
          <w:szCs w:val="18"/>
        </w:rPr>
      </w:pPr>
    </w:p>
    <w:p>
      <w:pPr>
        <w:spacing w:line="300" w:lineRule="auto"/>
        <w:rPr>
          <w:rFonts w:hint="eastAsia" w:ascii="仿宋_GB2312" w:hAnsi="仿宋_GB2312" w:eastAsia="仿宋_GB2312" w:cs="仿宋_GB2312"/>
          <w:color w:val="auto"/>
          <w:szCs w:val="18"/>
        </w:rPr>
      </w:pPr>
      <w:r>
        <w:rPr>
          <w:rFonts w:hint="eastAsia" w:ascii="仿宋_GB2312" w:hAnsi="仿宋_GB2312" w:eastAsia="仿宋_GB2312" w:cs="仿宋_GB2312"/>
          <w:color w:val="auto"/>
          <w:szCs w:val="18"/>
        </w:rPr>
        <w:t>医疗机构名称：</w:t>
      </w:r>
      <w:r>
        <w:rPr>
          <w:rFonts w:hint="eastAsia" w:ascii="仿宋_GB2312" w:hAnsi="仿宋_GB2312" w:eastAsia="仿宋_GB2312" w:cs="仿宋_GB2312"/>
          <w:color w:val="auto"/>
          <w:szCs w:val="18"/>
          <w:u w:val="single"/>
        </w:rPr>
        <w:t xml:space="preserve">                                 </w:t>
      </w:r>
    </w:p>
    <w:tbl>
      <w:tblPr>
        <w:tblStyle w:val="13"/>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840"/>
        <w:gridCol w:w="810"/>
        <w:gridCol w:w="750"/>
        <w:gridCol w:w="765"/>
        <w:gridCol w:w="765"/>
        <w:gridCol w:w="915"/>
        <w:gridCol w:w="765"/>
        <w:gridCol w:w="814"/>
        <w:gridCol w:w="821"/>
        <w:gridCol w:w="79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530" w:type="dxa"/>
            <w:vMerge w:val="restart"/>
            <w:vAlign w:val="center"/>
          </w:tcPr>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诊疗项目</w:t>
            </w:r>
          </w:p>
        </w:tc>
        <w:tc>
          <w:tcPr>
            <w:tcW w:w="5610" w:type="dxa"/>
            <w:gridSpan w:val="7"/>
            <w:vAlign w:val="center"/>
          </w:tcPr>
          <w:p>
            <w:pPr>
              <w:spacing w:line="300" w:lineRule="auto"/>
              <w:ind w:firstLine="420"/>
              <w:jc w:val="center"/>
              <w:rPr>
                <w:rFonts w:ascii="仿宋" w:hAnsi="仿宋" w:eastAsia="仿宋" w:cs="仿宋_GB2312"/>
                <w:color w:val="auto"/>
                <w:sz w:val="24"/>
                <w:szCs w:val="18"/>
                <w:highlight w:val="none"/>
              </w:rPr>
            </w:pP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射线诊断</w:t>
            </w:r>
          </w:p>
        </w:tc>
        <w:tc>
          <w:tcPr>
            <w:tcW w:w="814" w:type="dxa"/>
            <w:vMerge w:val="restart"/>
            <w:vAlign w:val="center"/>
          </w:tcPr>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介入治疗（人次）</w:t>
            </w:r>
          </w:p>
        </w:tc>
        <w:tc>
          <w:tcPr>
            <w:tcW w:w="821" w:type="dxa"/>
            <w:vMerge w:val="restart"/>
            <w:vAlign w:val="center"/>
          </w:tcPr>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放射治疗</w:t>
            </w:r>
          </w:p>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（人）</w:t>
            </w:r>
          </w:p>
        </w:tc>
        <w:tc>
          <w:tcPr>
            <w:tcW w:w="1728" w:type="dxa"/>
            <w:gridSpan w:val="2"/>
            <w:vAlign w:val="center"/>
          </w:tcPr>
          <w:p>
            <w:pPr>
              <w:spacing w:line="300" w:lineRule="auto"/>
              <w:ind w:firstLine="420"/>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530" w:type="dxa"/>
            <w:vMerge w:val="continue"/>
            <w:vAlign w:val="center"/>
          </w:tcPr>
          <w:p>
            <w:pPr>
              <w:widowControl/>
              <w:rPr>
                <w:rFonts w:ascii="仿宋" w:hAnsi="仿宋" w:eastAsia="仿宋" w:cs="仿宋_GB2312"/>
                <w:color w:val="auto"/>
                <w:sz w:val="24"/>
                <w:szCs w:val="18"/>
                <w:highlight w:val="none"/>
              </w:rPr>
            </w:pPr>
          </w:p>
        </w:tc>
        <w:tc>
          <w:tcPr>
            <w:tcW w:w="840" w:type="dxa"/>
            <w:vAlign w:val="center"/>
          </w:tcPr>
          <w:p>
            <w:pPr>
              <w:spacing w:line="300" w:lineRule="auto"/>
              <w:jc w:val="center"/>
              <w:rPr>
                <w:rFonts w:hint="eastAsia" w:ascii="仿宋" w:hAnsi="仿宋" w:eastAsia="仿宋" w:cs="仿宋_GB2312"/>
                <w:color w:val="auto"/>
                <w:sz w:val="24"/>
                <w:szCs w:val="18"/>
                <w:highlight w:val="none"/>
                <w:lang w:eastAsia="zh-CN"/>
              </w:rPr>
            </w:pPr>
            <w:r>
              <w:rPr>
                <w:rFonts w:ascii="仿宋" w:hAnsi="仿宋" w:eastAsia="仿宋" w:cs="仿宋_GB2312"/>
                <w:color w:val="auto"/>
                <w:sz w:val="24"/>
                <w:szCs w:val="18"/>
                <w:highlight w:val="none"/>
              </w:rPr>
              <w:t>X</w:t>
            </w:r>
            <w:r>
              <w:rPr>
                <w:rFonts w:hint="eastAsia" w:ascii="仿宋" w:hAnsi="仿宋" w:eastAsia="仿宋" w:cs="仿宋_GB2312"/>
                <w:color w:val="auto"/>
                <w:sz w:val="24"/>
                <w:szCs w:val="18"/>
                <w:highlight w:val="none"/>
              </w:rPr>
              <w:t>射线</w:t>
            </w:r>
            <w:r>
              <w:rPr>
                <w:rFonts w:hint="eastAsia" w:ascii="仿宋" w:hAnsi="仿宋" w:eastAsia="仿宋" w:cs="仿宋_GB2312"/>
                <w:color w:val="auto"/>
                <w:sz w:val="24"/>
                <w:szCs w:val="18"/>
                <w:highlight w:val="none"/>
                <w:lang w:eastAsia="zh-CN"/>
              </w:rPr>
              <w:t>摄影</w:t>
            </w:r>
          </w:p>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（人次）</w:t>
            </w:r>
          </w:p>
          <w:p>
            <w:pPr>
              <w:spacing w:line="300" w:lineRule="auto"/>
              <w:jc w:val="center"/>
              <w:rPr>
                <w:rFonts w:ascii="仿宋" w:hAnsi="仿宋" w:eastAsia="仿宋" w:cs="仿宋_GB2312"/>
                <w:color w:val="auto"/>
                <w:sz w:val="24"/>
                <w:szCs w:val="18"/>
                <w:highlight w:val="none"/>
              </w:rPr>
            </w:pPr>
          </w:p>
        </w:tc>
        <w:tc>
          <w:tcPr>
            <w:tcW w:w="810" w:type="dxa"/>
            <w:vAlign w:val="center"/>
          </w:tcPr>
          <w:p>
            <w:pPr>
              <w:spacing w:line="300" w:lineRule="auto"/>
              <w:jc w:val="center"/>
              <w:rPr>
                <w:rFonts w:hint="eastAsia"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val="en-US" w:eastAsia="zh-CN"/>
              </w:rPr>
              <w:t>X射线透视（人次）</w:t>
            </w:r>
          </w:p>
        </w:tc>
        <w:tc>
          <w:tcPr>
            <w:tcW w:w="750" w:type="dxa"/>
            <w:vAlign w:val="center"/>
          </w:tcPr>
          <w:p>
            <w:pPr>
              <w:spacing w:line="300" w:lineRule="auto"/>
              <w:jc w:val="center"/>
              <w:rPr>
                <w:rFonts w:hint="default" w:ascii="仿宋" w:hAnsi="仿宋" w:eastAsia="仿宋" w:cs="仿宋_GB2312"/>
                <w:color w:val="auto"/>
                <w:sz w:val="24"/>
                <w:szCs w:val="18"/>
                <w:highlight w:val="none"/>
                <w:lang w:val="en-US" w:eastAsia="zh-CN"/>
              </w:rPr>
            </w:pPr>
            <w:r>
              <w:rPr>
                <w:rFonts w:hint="eastAsia" w:ascii="仿宋" w:hAnsi="仿宋" w:eastAsia="仿宋" w:cs="仿宋_GB2312"/>
                <w:color w:val="auto"/>
                <w:sz w:val="24"/>
                <w:szCs w:val="18"/>
                <w:highlight w:val="none"/>
                <w:lang w:val="en-US" w:eastAsia="zh-CN"/>
              </w:rPr>
              <w:t>CT诊断（人次）</w:t>
            </w:r>
          </w:p>
        </w:tc>
        <w:tc>
          <w:tcPr>
            <w:tcW w:w="765" w:type="dxa"/>
            <w:vAlign w:val="center"/>
          </w:tcPr>
          <w:p>
            <w:pPr>
              <w:spacing w:line="300" w:lineRule="auto"/>
              <w:jc w:val="center"/>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乳腺摄影（人次）</w:t>
            </w:r>
          </w:p>
        </w:tc>
        <w:tc>
          <w:tcPr>
            <w:tcW w:w="765" w:type="dxa"/>
            <w:vAlign w:val="center"/>
          </w:tcPr>
          <w:p>
            <w:pPr>
              <w:spacing w:line="300" w:lineRule="auto"/>
              <w:jc w:val="center"/>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牙科摄影（人次）</w:t>
            </w:r>
          </w:p>
        </w:tc>
        <w:tc>
          <w:tcPr>
            <w:tcW w:w="915" w:type="dxa"/>
            <w:vAlign w:val="center"/>
          </w:tcPr>
          <w:p>
            <w:pPr>
              <w:spacing w:line="300" w:lineRule="auto"/>
              <w:jc w:val="center"/>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骨密度检查（人次）</w:t>
            </w:r>
          </w:p>
        </w:tc>
        <w:tc>
          <w:tcPr>
            <w:tcW w:w="765" w:type="dxa"/>
            <w:vAlign w:val="center"/>
          </w:tcPr>
          <w:p>
            <w:pPr>
              <w:spacing w:line="300" w:lineRule="auto"/>
              <w:jc w:val="center"/>
              <w:rPr>
                <w:rFonts w:hint="eastAsia" w:ascii="仿宋" w:hAnsi="仿宋" w:eastAsia="仿宋" w:cs="仿宋_GB2312"/>
                <w:color w:val="auto"/>
                <w:sz w:val="24"/>
                <w:szCs w:val="18"/>
                <w:highlight w:val="none"/>
                <w:lang w:eastAsia="zh-CN"/>
              </w:rPr>
            </w:pPr>
            <w:r>
              <w:rPr>
                <w:rFonts w:hint="eastAsia" w:ascii="仿宋" w:hAnsi="仿宋" w:eastAsia="仿宋" w:cs="仿宋_GB2312"/>
                <w:color w:val="auto"/>
                <w:sz w:val="24"/>
                <w:szCs w:val="18"/>
                <w:highlight w:val="none"/>
                <w:lang w:eastAsia="zh-CN"/>
              </w:rPr>
              <w:t>其他（人次）</w:t>
            </w:r>
          </w:p>
        </w:tc>
        <w:tc>
          <w:tcPr>
            <w:tcW w:w="814" w:type="dxa"/>
            <w:vMerge w:val="continue"/>
            <w:vAlign w:val="center"/>
          </w:tcPr>
          <w:p>
            <w:pPr>
              <w:widowControl/>
              <w:rPr>
                <w:rFonts w:ascii="仿宋" w:hAnsi="仿宋" w:eastAsia="仿宋" w:cs="仿宋_GB2312"/>
                <w:color w:val="auto"/>
                <w:sz w:val="24"/>
                <w:szCs w:val="18"/>
                <w:highlight w:val="none"/>
              </w:rPr>
            </w:pPr>
          </w:p>
        </w:tc>
        <w:tc>
          <w:tcPr>
            <w:tcW w:w="821" w:type="dxa"/>
            <w:vMerge w:val="continue"/>
            <w:vAlign w:val="center"/>
          </w:tcPr>
          <w:p>
            <w:pPr>
              <w:widowControl/>
              <w:rPr>
                <w:rFonts w:ascii="仿宋" w:hAnsi="仿宋" w:eastAsia="仿宋" w:cs="仿宋_GB2312"/>
                <w:color w:val="auto"/>
                <w:sz w:val="24"/>
                <w:szCs w:val="18"/>
                <w:highlight w:val="none"/>
              </w:rPr>
            </w:pPr>
          </w:p>
        </w:tc>
        <w:tc>
          <w:tcPr>
            <w:tcW w:w="799" w:type="dxa"/>
            <w:vAlign w:val="center"/>
          </w:tcPr>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诊断</w:t>
            </w:r>
          </w:p>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（人次）</w:t>
            </w:r>
          </w:p>
        </w:tc>
        <w:tc>
          <w:tcPr>
            <w:tcW w:w="929" w:type="dxa"/>
            <w:vAlign w:val="center"/>
          </w:tcPr>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治疗</w:t>
            </w:r>
          </w:p>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530" w:type="dxa"/>
            <w:vAlign w:val="center"/>
          </w:tcPr>
          <w:p>
            <w:pPr>
              <w:spacing w:line="300" w:lineRule="auto"/>
              <w:jc w:val="center"/>
              <w:rPr>
                <w:rFonts w:ascii="仿宋" w:hAnsi="仿宋" w:eastAsia="仿宋" w:cs="仿宋_GB2312"/>
                <w:color w:val="auto"/>
                <w:sz w:val="24"/>
                <w:szCs w:val="18"/>
                <w:highlight w:val="none"/>
              </w:rPr>
            </w:pPr>
            <w:r>
              <w:rPr>
                <w:rFonts w:hint="eastAsia" w:ascii="仿宋" w:hAnsi="仿宋" w:eastAsia="仿宋" w:cs="仿宋_GB2312"/>
                <w:color w:val="auto"/>
                <w:sz w:val="24"/>
                <w:szCs w:val="18"/>
                <w:highlight w:val="none"/>
              </w:rPr>
              <w:t>年度结果</w:t>
            </w:r>
          </w:p>
        </w:tc>
        <w:tc>
          <w:tcPr>
            <w:tcW w:w="840" w:type="dxa"/>
            <w:vAlign w:val="center"/>
          </w:tcPr>
          <w:p>
            <w:pPr>
              <w:spacing w:line="300" w:lineRule="auto"/>
              <w:jc w:val="center"/>
              <w:rPr>
                <w:rFonts w:hint="eastAsia" w:ascii="仿宋" w:hAnsi="仿宋" w:eastAsia="仿宋" w:cs="仿宋_GB2312"/>
                <w:color w:val="auto"/>
                <w:sz w:val="24"/>
                <w:szCs w:val="18"/>
                <w:highlight w:val="none"/>
              </w:rPr>
            </w:pPr>
          </w:p>
        </w:tc>
        <w:tc>
          <w:tcPr>
            <w:tcW w:w="810" w:type="dxa"/>
            <w:vAlign w:val="center"/>
          </w:tcPr>
          <w:p>
            <w:pPr>
              <w:spacing w:line="300" w:lineRule="auto"/>
              <w:jc w:val="center"/>
              <w:rPr>
                <w:rFonts w:hint="eastAsia" w:ascii="仿宋" w:hAnsi="仿宋" w:eastAsia="仿宋" w:cs="仿宋_GB2312"/>
                <w:color w:val="auto"/>
                <w:sz w:val="24"/>
                <w:szCs w:val="18"/>
                <w:highlight w:val="none"/>
              </w:rPr>
            </w:pPr>
          </w:p>
        </w:tc>
        <w:tc>
          <w:tcPr>
            <w:tcW w:w="750" w:type="dxa"/>
            <w:vAlign w:val="center"/>
          </w:tcPr>
          <w:p>
            <w:pPr>
              <w:spacing w:line="300" w:lineRule="auto"/>
              <w:jc w:val="center"/>
              <w:rPr>
                <w:rFonts w:hint="eastAsia" w:ascii="仿宋" w:hAnsi="仿宋" w:eastAsia="仿宋" w:cs="仿宋_GB2312"/>
                <w:color w:val="auto"/>
                <w:sz w:val="24"/>
                <w:szCs w:val="18"/>
                <w:highlight w:val="none"/>
              </w:rPr>
            </w:pPr>
          </w:p>
        </w:tc>
        <w:tc>
          <w:tcPr>
            <w:tcW w:w="765" w:type="dxa"/>
            <w:vAlign w:val="center"/>
          </w:tcPr>
          <w:p>
            <w:pPr>
              <w:spacing w:line="300" w:lineRule="auto"/>
              <w:jc w:val="center"/>
              <w:rPr>
                <w:rFonts w:hint="eastAsia" w:ascii="仿宋" w:hAnsi="仿宋" w:eastAsia="仿宋" w:cs="仿宋_GB2312"/>
                <w:color w:val="auto"/>
                <w:sz w:val="24"/>
                <w:szCs w:val="18"/>
                <w:highlight w:val="none"/>
              </w:rPr>
            </w:pPr>
          </w:p>
        </w:tc>
        <w:tc>
          <w:tcPr>
            <w:tcW w:w="765" w:type="dxa"/>
            <w:vAlign w:val="center"/>
          </w:tcPr>
          <w:p>
            <w:pPr>
              <w:spacing w:line="300" w:lineRule="auto"/>
              <w:jc w:val="center"/>
              <w:rPr>
                <w:rFonts w:hint="eastAsia" w:ascii="仿宋" w:hAnsi="仿宋" w:eastAsia="仿宋" w:cs="仿宋_GB2312"/>
                <w:color w:val="auto"/>
                <w:sz w:val="24"/>
                <w:szCs w:val="18"/>
                <w:highlight w:val="none"/>
              </w:rPr>
            </w:pPr>
          </w:p>
        </w:tc>
        <w:tc>
          <w:tcPr>
            <w:tcW w:w="915" w:type="dxa"/>
            <w:vAlign w:val="center"/>
          </w:tcPr>
          <w:p>
            <w:pPr>
              <w:spacing w:line="300" w:lineRule="auto"/>
              <w:jc w:val="center"/>
              <w:rPr>
                <w:rFonts w:hint="eastAsia" w:ascii="仿宋" w:hAnsi="仿宋" w:eastAsia="仿宋" w:cs="仿宋_GB2312"/>
                <w:color w:val="auto"/>
                <w:sz w:val="24"/>
                <w:szCs w:val="18"/>
                <w:highlight w:val="none"/>
              </w:rPr>
            </w:pPr>
          </w:p>
        </w:tc>
        <w:tc>
          <w:tcPr>
            <w:tcW w:w="765" w:type="dxa"/>
            <w:vAlign w:val="center"/>
          </w:tcPr>
          <w:p>
            <w:pPr>
              <w:spacing w:line="300" w:lineRule="auto"/>
              <w:ind w:firstLine="420"/>
              <w:jc w:val="center"/>
              <w:rPr>
                <w:rFonts w:ascii="仿宋" w:hAnsi="仿宋" w:eastAsia="仿宋" w:cs="仿宋_GB2312"/>
                <w:color w:val="auto"/>
                <w:sz w:val="24"/>
                <w:szCs w:val="18"/>
                <w:highlight w:val="none"/>
              </w:rPr>
            </w:pPr>
          </w:p>
        </w:tc>
        <w:tc>
          <w:tcPr>
            <w:tcW w:w="814" w:type="dxa"/>
            <w:vAlign w:val="center"/>
          </w:tcPr>
          <w:p>
            <w:pPr>
              <w:spacing w:line="300" w:lineRule="auto"/>
              <w:ind w:firstLine="420"/>
              <w:jc w:val="center"/>
              <w:rPr>
                <w:rFonts w:ascii="仿宋" w:hAnsi="仿宋" w:eastAsia="仿宋" w:cs="仿宋_GB2312"/>
                <w:color w:val="auto"/>
                <w:sz w:val="24"/>
                <w:szCs w:val="18"/>
                <w:highlight w:val="none"/>
              </w:rPr>
            </w:pPr>
          </w:p>
        </w:tc>
        <w:tc>
          <w:tcPr>
            <w:tcW w:w="821" w:type="dxa"/>
            <w:vAlign w:val="center"/>
          </w:tcPr>
          <w:p>
            <w:pPr>
              <w:spacing w:line="300" w:lineRule="auto"/>
              <w:ind w:firstLine="420"/>
              <w:jc w:val="center"/>
              <w:rPr>
                <w:rFonts w:ascii="仿宋" w:hAnsi="仿宋" w:eastAsia="仿宋" w:cs="仿宋_GB2312"/>
                <w:color w:val="auto"/>
                <w:sz w:val="24"/>
                <w:szCs w:val="18"/>
                <w:highlight w:val="none"/>
              </w:rPr>
            </w:pPr>
          </w:p>
        </w:tc>
        <w:tc>
          <w:tcPr>
            <w:tcW w:w="799" w:type="dxa"/>
            <w:vAlign w:val="center"/>
          </w:tcPr>
          <w:p>
            <w:pPr>
              <w:spacing w:line="300" w:lineRule="auto"/>
              <w:ind w:firstLine="420"/>
              <w:jc w:val="center"/>
              <w:rPr>
                <w:rFonts w:ascii="仿宋" w:hAnsi="仿宋" w:eastAsia="仿宋" w:cs="仿宋_GB2312"/>
                <w:color w:val="auto"/>
                <w:sz w:val="24"/>
                <w:szCs w:val="18"/>
                <w:highlight w:val="none"/>
              </w:rPr>
            </w:pPr>
          </w:p>
        </w:tc>
        <w:tc>
          <w:tcPr>
            <w:tcW w:w="929" w:type="dxa"/>
            <w:vAlign w:val="center"/>
          </w:tcPr>
          <w:p>
            <w:pPr>
              <w:spacing w:line="300" w:lineRule="auto"/>
              <w:ind w:firstLine="420"/>
              <w:jc w:val="center"/>
              <w:rPr>
                <w:rFonts w:ascii="仿宋" w:hAnsi="仿宋" w:eastAsia="仿宋" w:cs="仿宋_GB2312"/>
                <w:color w:val="auto"/>
                <w:sz w:val="24"/>
                <w:szCs w:val="18"/>
                <w:highlight w:val="none"/>
              </w:rPr>
            </w:pPr>
          </w:p>
        </w:tc>
      </w:tr>
    </w:tbl>
    <w:p>
      <w:pPr>
        <w:spacing w:line="360" w:lineRule="auto"/>
        <w:rPr>
          <w:rFonts w:hint="eastAsia" w:ascii="黑体" w:hAnsi="黑体" w:eastAsia="黑体" w:cs="黑体"/>
          <w:b/>
          <w:bCs/>
          <w:color w:val="auto"/>
          <w:sz w:val="24"/>
          <w:szCs w:val="18"/>
          <w:lang w:eastAsia="zh-CN"/>
        </w:rPr>
      </w:pPr>
      <w:r>
        <w:rPr>
          <w:rFonts w:hint="eastAsia" w:ascii="黑体" w:hAnsi="黑体" w:eastAsia="黑体" w:cs="黑体"/>
          <w:b/>
          <w:bCs/>
          <w:color w:val="auto"/>
          <w:sz w:val="24"/>
          <w:szCs w:val="18"/>
          <w:lang w:eastAsia="zh-CN"/>
        </w:rPr>
        <w:t>项目承担机构：</w:t>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 xml:space="preserve"> </w:t>
      </w:r>
    </w:p>
    <w:p>
      <w:pPr>
        <w:spacing w:line="360" w:lineRule="auto"/>
        <w:rPr>
          <w:rFonts w:hint="eastAsia" w:ascii="黑体" w:hAnsi="黑体" w:eastAsia="黑体" w:cs="黑体"/>
          <w:b/>
          <w:bCs/>
          <w:color w:val="auto"/>
          <w:sz w:val="24"/>
          <w:szCs w:val="18"/>
          <w:lang w:eastAsia="zh-CN"/>
        </w:rPr>
      </w:pPr>
      <w:r>
        <w:rPr>
          <w:rFonts w:hint="eastAsia" w:ascii="黑体" w:hAnsi="黑体" w:eastAsia="黑体" w:cs="黑体"/>
          <w:b/>
          <w:bCs/>
          <w:color w:val="auto"/>
          <w:sz w:val="24"/>
          <w:szCs w:val="18"/>
          <w:lang w:eastAsia="zh-CN"/>
        </w:rPr>
        <w:t>填表人：</w:t>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 xml:space="preserve">               </w:t>
      </w:r>
    </w:p>
    <w:p>
      <w:pPr>
        <w:spacing w:line="360" w:lineRule="auto"/>
        <w:rPr>
          <w:rFonts w:hint="eastAsia" w:ascii="黑体" w:hAnsi="黑体" w:eastAsia="黑体" w:cs="黑体"/>
          <w:b/>
          <w:bCs/>
          <w:color w:val="auto"/>
          <w:sz w:val="24"/>
          <w:szCs w:val="18"/>
          <w:u w:val="single"/>
          <w:lang w:eastAsia="zh-CN"/>
        </w:rPr>
      </w:pPr>
      <w:r>
        <w:rPr>
          <w:rFonts w:hint="eastAsia" w:ascii="黑体" w:hAnsi="黑体" w:eastAsia="黑体" w:cs="黑体"/>
          <w:b/>
          <w:bCs/>
          <w:color w:val="auto"/>
          <w:sz w:val="24"/>
          <w:szCs w:val="18"/>
          <w:lang w:eastAsia="zh-CN"/>
        </w:rPr>
        <w:t>手机号码：</w:t>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 xml:space="preserve">               </w:t>
      </w:r>
    </w:p>
    <w:p>
      <w:pPr>
        <w:spacing w:line="360" w:lineRule="auto"/>
        <w:rPr>
          <w:rFonts w:hint="eastAsia" w:ascii="黑体" w:hAnsi="黑体" w:eastAsia="黑体" w:cs="黑体"/>
          <w:b/>
          <w:bCs/>
          <w:color w:val="auto"/>
          <w:sz w:val="24"/>
          <w:szCs w:val="18"/>
          <w:u w:val="single"/>
          <w:lang w:eastAsia="zh-CN"/>
        </w:rPr>
      </w:pPr>
      <w:r>
        <w:rPr>
          <w:rFonts w:hint="eastAsia" w:ascii="黑体" w:hAnsi="黑体" w:eastAsia="黑体" w:cs="黑体"/>
          <w:b/>
          <w:bCs/>
          <w:color w:val="auto"/>
          <w:sz w:val="24"/>
          <w:szCs w:val="18"/>
          <w:lang w:eastAsia="zh-CN"/>
        </w:rPr>
        <w:t>填报时间：</w:t>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ab/>
      </w:r>
      <w:r>
        <w:rPr>
          <w:rFonts w:hint="eastAsia" w:ascii="黑体" w:hAnsi="黑体" w:eastAsia="黑体" w:cs="黑体"/>
          <w:b/>
          <w:bCs/>
          <w:color w:val="auto"/>
          <w:sz w:val="24"/>
          <w:szCs w:val="18"/>
          <w:u w:val="single"/>
          <w:lang w:eastAsia="zh-CN"/>
        </w:rPr>
        <w:t xml:space="preserve">                  </w:t>
      </w:r>
    </w:p>
    <w:p>
      <w:pPr>
        <w:adjustRightInd w:val="0"/>
        <w:spacing w:line="360" w:lineRule="auto"/>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注：1.本表在采集医院计算机信息系统的资料汇总后填。</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2.X射线摄影指屏片、CR、DR设备进行的拍片检查。</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3.X射线透视指门诊胸透、胃肠、碎石、移动C形臂等检查。</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4.CT诊断不包括CT定位。</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5.若一人进行多部位检查则每部位算一次。</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6.介入治疗包括心血管介入、神经介入、外周血管介入、综合介入等。</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7.核医学诊断包括SPECT检查、PET检查、功能测定（吸碘率、肾图、心功能、脑血流）等。</w:t>
      </w:r>
    </w:p>
    <w:p>
      <w:pPr>
        <w:adjustRightInd w:val="0"/>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8.核医学治疗包括</w:t>
      </w:r>
      <w:r>
        <w:rPr>
          <w:rFonts w:hint="eastAsia" w:ascii="仿宋_GB2312" w:hAnsi="仿宋_GB2312" w:eastAsia="仿宋_GB2312" w:cs="仿宋_GB2312"/>
          <w:color w:val="auto"/>
          <w:sz w:val="24"/>
          <w:vertAlign w:val="superscript"/>
        </w:rPr>
        <w:t>131</w:t>
      </w:r>
      <w:r>
        <w:rPr>
          <w:rFonts w:hint="eastAsia" w:ascii="仿宋_GB2312" w:hAnsi="仿宋_GB2312" w:eastAsia="仿宋_GB2312" w:cs="仿宋_GB2312"/>
          <w:color w:val="auto"/>
          <w:sz w:val="24"/>
        </w:rPr>
        <w:t>I治疗、粒子植入治疗、敷贴治疗等。</w:t>
      </w:r>
    </w:p>
    <w:p>
      <w:pPr>
        <w:adjustRightInd w:val="0"/>
        <w:spacing w:line="360" w:lineRule="auto"/>
        <w:ind w:firstLine="480" w:firstLineChars="200"/>
        <w:textAlignment w:val="baseline"/>
        <w:rPr>
          <w:rFonts w:hint="eastAsia" w:ascii="仿宋_GB2312" w:hAnsi="仿宋_GB2312" w:eastAsia="仿宋_GB2312" w:cs="仿宋_GB2312"/>
          <w:color w:val="auto"/>
          <w:sz w:val="24"/>
          <w:highlight w:val="yellow"/>
        </w:rPr>
      </w:pPr>
      <w:r>
        <w:rPr>
          <w:rFonts w:hint="eastAsia" w:ascii="仿宋_GB2312" w:hAnsi="仿宋_GB2312" w:eastAsia="仿宋_GB2312" w:cs="仿宋_GB2312"/>
          <w:color w:val="auto"/>
          <w:sz w:val="24"/>
        </w:rPr>
        <w:t>9.数据统计时间为2021年4月1日至2022年3月31日。</w:t>
      </w:r>
    </w:p>
    <w:p>
      <w:pPr>
        <w:adjustRightInd w:val="0"/>
        <w:snapToGrid w:val="0"/>
        <w:rPr>
          <w:rFonts w:hint="eastAsia" w:ascii="仿宋_GB2312" w:eastAsia="仿宋_GB2312"/>
          <w:color w:val="auto"/>
          <w:sz w:val="32"/>
          <w:szCs w:val="32"/>
          <w:u w:val="single"/>
        </w:rPr>
      </w:pPr>
      <w:r>
        <w:rPr>
          <w:rFonts w:hint="eastAsia" w:ascii="仿宋_GB2312" w:eastAsia="仿宋_GB2312"/>
          <w:color w:val="auto"/>
          <w:sz w:val="32"/>
          <w:szCs w:val="32"/>
          <w:u w:val="single"/>
        </w:rPr>
        <w:br w:type="page"/>
      </w:r>
    </w:p>
    <w:p>
      <w:pPr>
        <w:snapToGrid w:val="0"/>
        <w:rPr>
          <w:rFonts w:ascii="黑体" w:hAnsi="黑体" w:eastAsia="黑体" w:cs="黑体"/>
          <w:color w:val="auto"/>
          <w:sz w:val="32"/>
          <w:szCs w:val="32"/>
        </w:rPr>
      </w:pPr>
      <w:r>
        <w:rPr>
          <w:rFonts w:hint="eastAsia" w:ascii="黑体" w:hAnsi="黑体" w:eastAsia="黑体" w:cs="黑体"/>
          <w:color w:val="auto"/>
          <w:sz w:val="32"/>
          <w:szCs w:val="32"/>
        </w:rPr>
        <w:t>附件3</w:t>
      </w:r>
    </w:p>
    <w:p>
      <w:pPr>
        <w:widowControl/>
        <w:adjustRightInd w:val="0"/>
        <w:snapToGrid w:val="0"/>
        <w:spacing w:line="560" w:lineRule="atLeast"/>
        <w:jc w:val="center"/>
        <w:rPr>
          <w:rFonts w:hint="eastAsia" w:ascii="宋体" w:hAnsi="宋体" w:cs="宋体"/>
          <w:b/>
          <w:bCs/>
          <w:color w:val="auto"/>
          <w:kern w:val="0"/>
          <w:sz w:val="44"/>
          <w:szCs w:val="44"/>
        </w:rPr>
      </w:pPr>
      <w:r>
        <w:rPr>
          <w:rFonts w:hint="eastAsia" w:ascii="宋体" w:hAnsi="宋体" w:cs="宋体"/>
          <w:b/>
          <w:bCs/>
          <w:color w:val="auto"/>
          <w:kern w:val="0"/>
          <w:sz w:val="44"/>
          <w:szCs w:val="44"/>
        </w:rPr>
        <w:t>202</w:t>
      </w:r>
      <w:r>
        <w:rPr>
          <w:rFonts w:hint="eastAsia" w:ascii="宋体" w:hAnsi="宋体" w:cs="宋体"/>
          <w:b/>
          <w:bCs/>
          <w:color w:val="auto"/>
          <w:kern w:val="0"/>
          <w:sz w:val="44"/>
          <w:szCs w:val="44"/>
          <w:lang w:val="en-US" w:eastAsia="zh-CN"/>
        </w:rPr>
        <w:t>2</w:t>
      </w:r>
      <w:r>
        <w:rPr>
          <w:rFonts w:hint="eastAsia" w:ascii="宋体" w:hAnsi="宋体" w:cs="宋体"/>
          <w:b/>
          <w:bCs/>
          <w:color w:val="auto"/>
          <w:kern w:val="0"/>
          <w:sz w:val="44"/>
          <w:szCs w:val="44"/>
        </w:rPr>
        <w:t>年石景山区非医疗机构</w:t>
      </w:r>
    </w:p>
    <w:p>
      <w:pPr>
        <w:widowControl/>
        <w:adjustRightInd w:val="0"/>
        <w:snapToGrid w:val="0"/>
        <w:spacing w:line="560" w:lineRule="atLeast"/>
        <w:jc w:val="center"/>
        <w:rPr>
          <w:rFonts w:hint="eastAsia" w:ascii="宋体" w:hAnsi="宋体" w:cs="宋体"/>
          <w:b/>
          <w:bCs/>
          <w:color w:val="auto"/>
          <w:kern w:val="0"/>
          <w:sz w:val="44"/>
          <w:szCs w:val="44"/>
        </w:rPr>
      </w:pPr>
      <w:r>
        <w:rPr>
          <w:rFonts w:hint="eastAsia" w:ascii="宋体" w:hAnsi="宋体" w:cs="宋体"/>
          <w:b/>
          <w:bCs/>
          <w:color w:val="auto"/>
          <w:kern w:val="0"/>
          <w:sz w:val="44"/>
          <w:szCs w:val="44"/>
        </w:rPr>
        <w:t>放射性危害因素监测工作实施方案</w:t>
      </w:r>
    </w:p>
    <w:p>
      <w:pPr>
        <w:snapToGrid w:val="0"/>
        <w:spacing w:line="500" w:lineRule="atLeast"/>
        <w:rPr>
          <w:rFonts w:ascii="仿宋_GB2312" w:eastAsia="仿宋_GB2312"/>
          <w:color w:val="auto"/>
          <w:sz w:val="32"/>
          <w:szCs w:val="32"/>
        </w:rPr>
      </w:pPr>
    </w:p>
    <w:p>
      <w:pPr>
        <w:snapToGrid w:val="0"/>
        <w:spacing w:line="520" w:lineRule="exact"/>
        <w:ind w:firstLine="640" w:firstLineChars="200"/>
        <w:rPr>
          <w:rFonts w:hint="eastAsia"/>
          <w:color w:val="auto"/>
        </w:rPr>
      </w:pPr>
      <w:r>
        <w:rPr>
          <w:rFonts w:hint="eastAsia" w:ascii="仿宋_GB2312" w:eastAsia="仿宋_GB2312" w:cs="仿宋_GB2312"/>
          <w:color w:val="auto"/>
          <w:sz w:val="32"/>
          <w:szCs w:val="32"/>
        </w:rPr>
        <w:t>为推进2022年非医疗机构放射性危害因素监测工作，</w:t>
      </w:r>
      <w:r>
        <w:rPr>
          <w:rFonts w:hint="eastAsia" w:ascii="仿宋_GB2312" w:eastAsia="仿宋_GB2312" w:cs="仿宋_GB2312"/>
          <w:color w:val="auto"/>
          <w:sz w:val="32"/>
          <w:szCs w:val="32"/>
          <w:lang w:val="en-US" w:eastAsia="zh-CN"/>
        </w:rPr>
        <w:t>按照《北京市卫生健康委员会关于印发2022年北京市放射卫生监测项目工作方案的通知》（京卫职健〔2022〕18号）要求，结合石景山区实际，</w:t>
      </w:r>
      <w:r>
        <w:rPr>
          <w:rFonts w:hint="eastAsia" w:ascii="仿宋_GB2312" w:eastAsia="仿宋_GB2312" w:cs="仿宋_GB2312"/>
          <w:color w:val="auto"/>
          <w:sz w:val="32"/>
          <w:szCs w:val="32"/>
        </w:rPr>
        <w:t>制定《</w:t>
      </w:r>
      <w:r>
        <w:rPr>
          <w:rFonts w:hint="eastAsia" w:ascii="仿宋_GB2312" w:eastAsia="仿宋_GB2312" w:cs="仿宋_GB2312"/>
          <w:color w:val="auto"/>
          <w:sz w:val="32"/>
          <w:szCs w:val="32"/>
          <w:lang w:val="en-US" w:eastAsia="zh-CN"/>
        </w:rPr>
        <w:t>2022</w:t>
      </w:r>
      <w:r>
        <w:rPr>
          <w:rFonts w:hint="eastAsia" w:ascii="仿宋_GB2312" w:eastAsia="仿宋_GB2312" w:cs="仿宋_GB2312"/>
          <w:color w:val="auto"/>
          <w:sz w:val="32"/>
          <w:szCs w:val="32"/>
        </w:rPr>
        <w:t>年石景山区非医疗机构放射性危害因素监测工作实施方案》。</w:t>
      </w:r>
    </w:p>
    <w:p>
      <w:pPr>
        <w:pStyle w:val="16"/>
        <w:snapToGrid w:val="0"/>
        <w:spacing w:line="520" w:lineRule="exact"/>
        <w:ind w:firstLine="640" w:firstLineChars="200"/>
        <w:jc w:val="left"/>
        <w:rPr>
          <w:rFonts w:hint="eastAsia" w:ascii="黑体" w:eastAsia="黑体" w:cs="黑体"/>
          <w:color w:val="auto"/>
          <w:sz w:val="32"/>
          <w:szCs w:val="32"/>
          <w:lang w:val="en-US" w:eastAsia="zh-CN"/>
        </w:rPr>
      </w:pPr>
      <w:r>
        <w:rPr>
          <w:rFonts w:hint="eastAsia" w:ascii="黑体" w:eastAsia="黑体" w:cs="黑体"/>
          <w:color w:val="auto"/>
          <w:sz w:val="32"/>
          <w:szCs w:val="32"/>
        </w:rPr>
        <w:t>一、监测</w:t>
      </w:r>
      <w:r>
        <w:rPr>
          <w:rFonts w:hint="eastAsia" w:ascii="黑体" w:eastAsia="黑体" w:cs="黑体"/>
          <w:color w:val="auto"/>
          <w:sz w:val="32"/>
          <w:szCs w:val="32"/>
          <w:lang w:val="en-US" w:eastAsia="zh-CN"/>
        </w:rPr>
        <w:t>目标</w:t>
      </w: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通过开展问卷调查、现场监测的方法，掌握石景山区非医疗机构放射工作单位（以下简称用人单位）的底数及分类分布情况，了解用人单位放射性职业病危害因素防治现状和职业健康监护等情况，监测并分析放射性危害因素接触水平，明确防治工作中的薄弱环节，最大限度地保护放射工作人员的职业健康权益，切实降低放射性疾病负担，提高人民群众健康水平。</w:t>
      </w:r>
    </w:p>
    <w:p>
      <w:pPr>
        <w:pStyle w:val="15"/>
        <w:adjustRightInd w:val="0"/>
        <w:snapToGrid w:val="0"/>
        <w:spacing w:line="520" w:lineRule="exact"/>
        <w:ind w:left="640" w:firstLine="0" w:firstLineChars="0"/>
        <w:jc w:val="left"/>
        <w:rPr>
          <w:rFonts w:ascii="黑体" w:hAnsi="Times New Roman" w:eastAsia="黑体" w:cs="黑体"/>
          <w:color w:val="auto"/>
          <w:sz w:val="32"/>
          <w:szCs w:val="32"/>
        </w:rPr>
      </w:pPr>
      <w:r>
        <w:rPr>
          <w:rFonts w:hint="eastAsia" w:ascii="黑体" w:hAnsi="Times New Roman" w:eastAsia="黑体" w:cs="黑体"/>
          <w:color w:val="auto"/>
          <w:sz w:val="32"/>
          <w:szCs w:val="32"/>
        </w:rPr>
        <w:t>二、监测范围</w:t>
      </w:r>
    </w:p>
    <w:p>
      <w:pPr>
        <w:snapToGrid w:val="0"/>
        <w:spacing w:line="520" w:lineRule="exact"/>
        <w:ind w:firstLine="640" w:firstLineChars="200"/>
        <w:jc w:val="left"/>
        <w:rPr>
          <w:rFonts w:hint="eastAsia" w:ascii="楷体_GB2312" w:hAnsi="楷体" w:eastAsia="楷体_GB2312" w:cs="楷体_GB2312"/>
          <w:color w:val="auto"/>
          <w:sz w:val="32"/>
          <w:szCs w:val="32"/>
          <w:lang w:eastAsia="zh-CN"/>
        </w:rPr>
      </w:pPr>
      <w:r>
        <w:rPr>
          <w:rFonts w:hint="eastAsia" w:ascii="楷体_GB2312" w:hAnsi="楷体" w:eastAsia="楷体_GB2312" w:cs="楷体_GB2312"/>
          <w:color w:val="auto"/>
          <w:sz w:val="32"/>
          <w:szCs w:val="32"/>
        </w:rPr>
        <w:t>（一）用人单位基本情况调查</w:t>
      </w:r>
      <w:r>
        <w:rPr>
          <w:rFonts w:hint="eastAsia" w:ascii="楷体_GB2312" w:hAnsi="楷体" w:eastAsia="楷体_GB2312" w:cs="楷体_GB2312"/>
          <w:color w:val="auto"/>
          <w:sz w:val="32"/>
          <w:szCs w:val="32"/>
          <w:lang w:eastAsia="zh-CN"/>
        </w:rPr>
        <w:t>、用人单位放射工作人员职业健康管理情况调查</w:t>
      </w: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监测范围覆盖辖区全部非医疗机构放射性用人单位（包含宠物医院）。</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（二）用人单位放射性危害因素检测</w:t>
      </w:r>
    </w:p>
    <w:p>
      <w:pPr>
        <w:snapToGrid w:val="0"/>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按照北京市方案的要求，</w:t>
      </w:r>
      <w:r>
        <w:rPr>
          <w:rFonts w:hint="eastAsia" w:ascii="仿宋_GB2312" w:eastAsia="仿宋_GB2312"/>
          <w:color w:val="auto"/>
          <w:sz w:val="32"/>
          <w:szCs w:val="32"/>
          <w:lang w:eastAsia="zh-CN"/>
        </w:rPr>
        <w:t>选定</w:t>
      </w:r>
      <w:r>
        <w:rPr>
          <w:rFonts w:hint="eastAsia" w:ascii="仿宋_GB2312" w:eastAsia="仿宋_GB2312"/>
          <w:color w:val="auto"/>
          <w:sz w:val="32"/>
          <w:szCs w:val="32"/>
        </w:rPr>
        <w:t>中国科学院大学</w:t>
      </w:r>
      <w:r>
        <w:rPr>
          <w:rFonts w:hint="eastAsia" w:ascii="仿宋_GB2312" w:eastAsia="仿宋_GB2312"/>
          <w:color w:val="auto"/>
          <w:sz w:val="32"/>
          <w:szCs w:val="32"/>
          <w:lang w:eastAsia="zh-CN"/>
        </w:rPr>
        <w:t>、</w:t>
      </w:r>
      <w:r>
        <w:rPr>
          <w:rFonts w:hint="eastAsia" w:ascii="仿宋_GB2312" w:eastAsia="仿宋_GB2312"/>
          <w:color w:val="auto"/>
          <w:sz w:val="32"/>
          <w:szCs w:val="32"/>
        </w:rPr>
        <w:t>北京建筑材料科学研究总院有限公司</w:t>
      </w:r>
      <w:r>
        <w:rPr>
          <w:rFonts w:hint="eastAsia" w:ascii="仿宋_GB2312" w:eastAsia="仿宋_GB2312"/>
          <w:color w:val="auto"/>
          <w:sz w:val="32"/>
          <w:szCs w:val="32"/>
          <w:lang w:val="en-US" w:eastAsia="zh-CN"/>
        </w:rPr>
        <w:t>2家用人单位</w:t>
      </w:r>
      <w:r>
        <w:rPr>
          <w:rFonts w:hint="eastAsia" w:ascii="仿宋_GB2312" w:eastAsia="仿宋_GB2312"/>
          <w:color w:val="auto"/>
          <w:sz w:val="32"/>
          <w:szCs w:val="32"/>
        </w:rPr>
        <w:t>为监测</w:t>
      </w:r>
      <w:r>
        <w:rPr>
          <w:rFonts w:hint="eastAsia" w:ascii="仿宋_GB2312" w:eastAsia="仿宋_GB2312"/>
          <w:color w:val="auto"/>
          <w:sz w:val="32"/>
          <w:szCs w:val="32"/>
          <w:lang w:eastAsia="zh-CN"/>
        </w:rPr>
        <w:t>单位。</w:t>
      </w:r>
    </w:p>
    <w:p>
      <w:pPr>
        <w:pStyle w:val="19"/>
        <w:adjustRightInd w:val="0"/>
        <w:snapToGrid w:val="0"/>
        <w:spacing w:line="520" w:lineRule="exact"/>
        <w:ind w:left="640" w:firstLine="0" w:firstLineChars="0"/>
        <w:rPr>
          <w:rFonts w:ascii="黑体" w:hAnsi="Times New Roman" w:eastAsia="黑体" w:cs="黑体"/>
          <w:color w:val="auto"/>
          <w:sz w:val="32"/>
          <w:szCs w:val="32"/>
        </w:rPr>
      </w:pPr>
      <w:r>
        <w:rPr>
          <w:rFonts w:hint="eastAsia" w:ascii="黑体" w:hAnsi="Times New Roman" w:eastAsia="黑体" w:cs="黑体"/>
          <w:color w:val="auto"/>
          <w:sz w:val="32"/>
          <w:szCs w:val="32"/>
        </w:rPr>
        <w:t>三、监测内容与方法</w:t>
      </w:r>
    </w:p>
    <w:p>
      <w:pPr>
        <w:snapToGrid w:val="0"/>
        <w:spacing w:line="520" w:lineRule="exact"/>
        <w:ind w:firstLine="640" w:firstLineChars="200"/>
        <w:jc w:val="left"/>
        <w:rPr>
          <w:rFonts w:hint="eastAsia" w:ascii="楷体_GB2312" w:hAnsi="楷体" w:eastAsia="楷体_GB2312" w:cs="楷体_GB2312"/>
          <w:color w:val="auto"/>
          <w:sz w:val="32"/>
          <w:szCs w:val="32"/>
          <w:lang w:eastAsia="zh-CN"/>
        </w:rPr>
      </w:pPr>
      <w:r>
        <w:rPr>
          <w:rFonts w:hint="eastAsia" w:ascii="楷体_GB2312" w:hAnsi="楷体" w:eastAsia="楷体_GB2312" w:cs="楷体_GB2312"/>
          <w:color w:val="auto"/>
          <w:sz w:val="32"/>
          <w:szCs w:val="32"/>
        </w:rPr>
        <w:t>（一）用人单位基本情况调查</w:t>
      </w:r>
      <w:r>
        <w:rPr>
          <w:rFonts w:hint="eastAsia" w:ascii="楷体_GB2312" w:hAnsi="楷体" w:eastAsia="楷体_GB2312" w:cs="楷体_GB2312"/>
          <w:color w:val="auto"/>
          <w:sz w:val="32"/>
          <w:szCs w:val="32"/>
          <w:lang w:eastAsia="zh-CN"/>
        </w:rPr>
        <w:t>、用人单位放射工作人员职业健康管理情况调查</w:t>
      </w:r>
    </w:p>
    <w:p>
      <w:pPr>
        <w:snapToGrid w:val="0"/>
        <w:spacing w:line="520" w:lineRule="exact"/>
        <w:ind w:firstLine="640" w:firstLineChars="200"/>
        <w:jc w:val="left"/>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rPr>
        <w:t>在梳理、补充和完善</w:t>
      </w:r>
      <w:r>
        <w:rPr>
          <w:rFonts w:hint="eastAsia" w:ascii="仿宋_GB2312" w:hAnsi="宋体" w:eastAsia="仿宋_GB2312" w:cs="仿宋_GB2312"/>
          <w:color w:val="auto"/>
          <w:sz w:val="32"/>
          <w:szCs w:val="32"/>
          <w:lang w:val="en-US" w:eastAsia="zh-CN"/>
        </w:rPr>
        <w:t>2021</w:t>
      </w:r>
      <w:r>
        <w:rPr>
          <w:rFonts w:hint="eastAsia" w:ascii="仿宋_GB2312" w:hAnsi="宋体" w:eastAsia="仿宋_GB2312" w:cs="仿宋_GB2312"/>
          <w:color w:val="auto"/>
          <w:sz w:val="32"/>
          <w:szCs w:val="32"/>
        </w:rPr>
        <w:t>年调查内容基础上，进一步对辖区全部非医疗机构放射性用人单位（包含宠物医院）的基本情况进行调查与核实，核实内容包括用人单位基本信息、放射性危害因素种类及接触情况、放射工作人员基本情况等</w:t>
      </w:r>
      <w:r>
        <w:rPr>
          <w:rFonts w:hint="eastAsia" w:ascii="仿宋_GB2312" w:hAnsi="宋体" w:eastAsia="仿宋_GB2312" w:cs="仿宋_GB2312"/>
          <w:color w:val="auto"/>
          <w:sz w:val="32"/>
          <w:szCs w:val="32"/>
          <w:lang w:eastAsia="zh-CN"/>
        </w:rPr>
        <w:t>。</w:t>
      </w:r>
    </w:p>
    <w:p>
      <w:pPr>
        <w:snapToGrid w:val="0"/>
        <w:spacing w:line="520" w:lineRule="exact"/>
        <w:ind w:firstLine="640" w:firstLineChars="200"/>
        <w:jc w:val="left"/>
        <w:rPr>
          <w:rFonts w:hint="eastAsia"/>
          <w:color w:val="auto"/>
          <w:lang w:eastAsia="zh-CN"/>
        </w:rPr>
      </w:pPr>
      <w:r>
        <w:rPr>
          <w:rFonts w:hint="eastAsia" w:ascii="仿宋_GB2312" w:hAnsi="宋体" w:eastAsia="仿宋_GB2312" w:cs="仿宋_GB2312"/>
          <w:color w:val="auto"/>
          <w:sz w:val="32"/>
          <w:szCs w:val="32"/>
          <w:lang w:val="en-US" w:eastAsia="zh-CN"/>
        </w:rPr>
        <w:t>在开展基本情况调查的同时，</w:t>
      </w:r>
      <w:r>
        <w:rPr>
          <w:rFonts w:hint="eastAsia" w:ascii="仿宋_GB2312" w:hAnsi="宋体" w:eastAsia="仿宋_GB2312" w:cs="仿宋_GB2312"/>
          <w:color w:val="auto"/>
          <w:sz w:val="32"/>
          <w:szCs w:val="32"/>
          <w:lang w:eastAsia="zh-CN"/>
        </w:rPr>
        <w:t>对用人单位的放射防护培训情况、放射性危害因素检测情况、现状评价开展及职业病危害因素申报情况、职业健康检查情况、个人剂量监测情况、辐射防护检测仪表和个人防护用品配置情况等进行调查与核实。</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区</w:t>
      </w:r>
      <w:r>
        <w:rPr>
          <w:rFonts w:hint="eastAsia" w:ascii="仿宋_GB2312" w:hAnsi="宋体" w:eastAsia="仿宋_GB2312" w:cs="仿宋_GB2312"/>
          <w:color w:val="auto"/>
          <w:sz w:val="32"/>
          <w:szCs w:val="32"/>
        </w:rPr>
        <w:t>卫生健康委组织用人单位网上填报、更新“北京市放射卫生监测数据库”，导出</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2022年北京市非医疗机构放射工作单位基本情况和职业健康管理情况调查表</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（见附表</w:t>
      </w:r>
      <w:r>
        <w:rPr>
          <w:rFonts w:hint="eastAsia" w:ascii="仿宋_GB2312" w:hAnsi="宋体" w:eastAsia="仿宋_GB2312" w:cs="仿宋_GB2312"/>
          <w:color w:val="auto"/>
          <w:sz w:val="32"/>
          <w:szCs w:val="32"/>
          <w:lang w:val="en-US" w:eastAsia="zh-CN"/>
        </w:rPr>
        <w:t>1</w:t>
      </w:r>
      <w:r>
        <w:rPr>
          <w:rFonts w:hint="eastAsia" w:ascii="仿宋_GB2312" w:hAnsi="宋体" w:eastAsia="仿宋_GB2312" w:cs="仿宋_GB2312"/>
          <w:color w:val="auto"/>
          <w:sz w:val="32"/>
          <w:szCs w:val="32"/>
        </w:rPr>
        <w:t>）。</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（二）用人单位放射性危害因素检测</w:t>
      </w:r>
    </w:p>
    <w:p>
      <w:pPr>
        <w:snapToGrid w:val="0"/>
        <w:spacing w:line="520" w:lineRule="exact"/>
        <w:ind w:firstLine="640" w:firstLineChars="200"/>
        <w:jc w:val="left"/>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依据国家现行有效的标准和规范，对选取的</w:t>
      </w:r>
      <w:r>
        <w:rPr>
          <w:rFonts w:hint="eastAsia" w:ascii="仿宋_GB2312" w:hAnsi="宋体" w:eastAsia="仿宋_GB2312" w:cs="仿宋_GB2312"/>
          <w:color w:val="auto"/>
          <w:sz w:val="32"/>
          <w:szCs w:val="32"/>
          <w:lang w:val="en-US" w:eastAsia="zh-CN"/>
        </w:rPr>
        <w:t>2家监测单位的</w:t>
      </w:r>
      <w:r>
        <w:rPr>
          <w:rFonts w:hint="eastAsia" w:ascii="仿宋_GB2312" w:hAnsi="宋体" w:eastAsia="仿宋_GB2312" w:cs="仿宋_GB2312"/>
          <w:color w:val="auto"/>
          <w:sz w:val="32"/>
          <w:szCs w:val="32"/>
        </w:rPr>
        <w:t>设备及放射工作场所职业病危害因素进行辐射水平现场检测。</w:t>
      </w:r>
    </w:p>
    <w:p>
      <w:pPr>
        <w:snapToGrid w:val="0"/>
        <w:spacing w:line="520" w:lineRule="exact"/>
        <w:ind w:firstLine="643" w:firstLineChars="200"/>
        <w:jc w:val="left"/>
        <w:rPr>
          <w:rFonts w:ascii="仿宋_GB2312" w:hAnsi="宋体" w:eastAsia="仿宋_GB2312"/>
          <w:b/>
          <w:bCs/>
          <w:color w:val="auto"/>
          <w:sz w:val="32"/>
          <w:szCs w:val="32"/>
        </w:rPr>
      </w:pPr>
      <w:r>
        <w:rPr>
          <w:rFonts w:hint="eastAsia" w:ascii="仿宋_GB2312" w:hAnsi="宋体" w:eastAsia="仿宋_GB2312"/>
          <w:b/>
          <w:bCs/>
          <w:color w:val="auto"/>
          <w:sz w:val="32"/>
          <w:szCs w:val="32"/>
        </w:rPr>
        <w:t>四、项目管理要求</w:t>
      </w:r>
    </w:p>
    <w:p>
      <w:pPr>
        <w:snapToGrid w:val="0"/>
        <w:spacing w:line="520" w:lineRule="exact"/>
        <w:ind w:firstLine="640" w:firstLineChars="200"/>
        <w:jc w:val="left"/>
        <w:rPr>
          <w:rFonts w:hint="eastAsia" w:ascii="仿宋_GB2312" w:hAnsi="宋体" w:eastAsia="仿宋_GB2312"/>
          <w:color w:val="auto"/>
          <w:sz w:val="32"/>
          <w:szCs w:val="32"/>
        </w:rPr>
      </w:pPr>
      <w:r>
        <w:rPr>
          <w:rFonts w:hint="eastAsia" w:ascii="仿宋_GB2312" w:hAnsi="宋体" w:eastAsia="仿宋_GB2312"/>
          <w:color w:val="auto"/>
          <w:sz w:val="32"/>
          <w:szCs w:val="32"/>
        </w:rPr>
        <w:t>（一）各部门职责</w:t>
      </w:r>
    </w:p>
    <w:p>
      <w:pPr>
        <w:snapToGrid w:val="0"/>
        <w:spacing w:line="520" w:lineRule="exact"/>
        <w:ind w:firstLine="643" w:firstLineChars="200"/>
        <w:jc w:val="left"/>
        <w:rPr>
          <w:rFonts w:hint="eastAsia" w:ascii="仿宋_GB2312" w:hAnsi="宋体" w:eastAsia="仿宋_GB2312"/>
          <w:b w:val="0"/>
          <w:bCs w:val="0"/>
          <w:color w:val="auto"/>
          <w:sz w:val="32"/>
          <w:szCs w:val="32"/>
        </w:rPr>
      </w:pPr>
      <w:r>
        <w:rPr>
          <w:rFonts w:hint="eastAsia" w:ascii="仿宋_GB2312" w:hAnsi="宋体" w:eastAsia="仿宋_GB2312"/>
          <w:b/>
          <w:bCs/>
          <w:color w:val="auto"/>
          <w:sz w:val="32"/>
          <w:szCs w:val="32"/>
        </w:rPr>
        <w:t>1.区卫生健康委：</w:t>
      </w:r>
      <w:r>
        <w:rPr>
          <w:rFonts w:hint="eastAsia" w:ascii="仿宋_GB2312" w:hAnsi="宋体" w:eastAsia="仿宋_GB2312"/>
          <w:color w:val="auto"/>
          <w:sz w:val="32"/>
          <w:szCs w:val="32"/>
        </w:rPr>
        <w:t>负责组织实施辖区监测工作，制定实施方案，</w:t>
      </w:r>
      <w:r>
        <w:rPr>
          <w:rFonts w:hint="eastAsia" w:ascii="仿宋_GB2312" w:hAnsi="宋体" w:eastAsia="仿宋_GB2312"/>
          <w:color w:val="auto"/>
          <w:sz w:val="32"/>
          <w:szCs w:val="32"/>
          <w:lang w:eastAsia="zh-CN"/>
        </w:rPr>
        <w:t>组织</w:t>
      </w:r>
      <w:r>
        <w:rPr>
          <w:rFonts w:hint="eastAsia" w:ascii="仿宋_GB2312" w:hAnsi="宋体" w:eastAsia="仿宋_GB2312"/>
          <w:color w:val="auto"/>
          <w:sz w:val="32"/>
          <w:szCs w:val="32"/>
        </w:rPr>
        <w:t>用人单位填报、更新“北京市放射卫生监测数据库”，开展用人单位信息采集和监测数据录入；组织监测用人单位开展监测，组织辖区项目自查，</w:t>
      </w:r>
      <w:r>
        <w:rPr>
          <w:rFonts w:hint="eastAsia" w:ascii="仿宋_GB2312" w:hAnsi="宋体" w:eastAsia="仿宋_GB2312"/>
          <w:b w:val="0"/>
          <w:bCs w:val="0"/>
          <w:color w:val="auto"/>
          <w:sz w:val="32"/>
          <w:szCs w:val="32"/>
        </w:rPr>
        <w:t>督促承担机构按时上报监测数据和工作总结，确保项目工作按时完成。</w:t>
      </w:r>
    </w:p>
    <w:p>
      <w:pPr>
        <w:snapToGrid w:val="0"/>
        <w:spacing w:line="520" w:lineRule="exact"/>
        <w:ind w:firstLine="643" w:firstLineChars="200"/>
        <w:jc w:val="left"/>
        <w:rPr>
          <w:rFonts w:hint="eastAsia" w:ascii="仿宋_GB2312" w:hAnsi="宋体" w:eastAsia="仿宋_GB2312"/>
          <w:color w:val="auto"/>
          <w:sz w:val="32"/>
          <w:szCs w:val="32"/>
        </w:rPr>
      </w:pPr>
      <w:r>
        <w:rPr>
          <w:rFonts w:hint="eastAsia" w:ascii="仿宋_GB2312" w:hAnsi="宋体" w:eastAsia="仿宋_GB2312"/>
          <w:b/>
          <w:bCs/>
          <w:color w:val="auto"/>
          <w:sz w:val="32"/>
          <w:szCs w:val="32"/>
        </w:rPr>
        <w:t>2.区疾控中心：</w:t>
      </w:r>
      <w:r>
        <w:rPr>
          <w:rFonts w:hint="eastAsia" w:ascii="仿宋_GB2312" w:hAnsi="宋体" w:eastAsia="仿宋_GB2312"/>
          <w:color w:val="auto"/>
          <w:sz w:val="32"/>
          <w:szCs w:val="32"/>
        </w:rPr>
        <w:t>在区卫生健康委、市疾控中心的组织和协调下，参加辖区内的监测项目工作，负责指导调查表录入、审核、汇总、统计，导出“2022年北京市非医疗机构放射工作单位基本信息汇总表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s="仿宋_GB2312"/>
          <w:color w:val="auto"/>
          <w:sz w:val="32"/>
          <w:szCs w:val="32"/>
        </w:rPr>
        <w:t>见</w:t>
      </w:r>
      <w:r>
        <w:rPr>
          <w:rFonts w:hint="eastAsia" w:ascii="仿宋_GB2312" w:hAnsi="宋体" w:eastAsia="仿宋_GB2312"/>
          <w:color w:val="auto"/>
          <w:sz w:val="32"/>
          <w:szCs w:val="32"/>
        </w:rPr>
        <w:t>附表</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并完成辖区</w:t>
      </w:r>
      <w:bookmarkStart w:id="5" w:name="_Hlk14627212"/>
      <w:r>
        <w:rPr>
          <w:rFonts w:hint="eastAsia" w:ascii="仿宋_GB2312" w:hAnsi="宋体" w:eastAsia="仿宋_GB2312"/>
          <w:color w:val="auto"/>
          <w:sz w:val="32"/>
          <w:szCs w:val="32"/>
        </w:rPr>
        <w:t>监测项目</w:t>
      </w:r>
      <w:r>
        <w:rPr>
          <w:rFonts w:hint="eastAsia" w:ascii="仿宋_GB2312" w:hAnsi="宋体" w:eastAsia="仿宋_GB2312"/>
          <w:color w:val="auto"/>
          <w:sz w:val="32"/>
          <w:szCs w:val="32"/>
          <w:lang w:eastAsia="zh-CN"/>
        </w:rPr>
        <w:t>工作</w:t>
      </w:r>
      <w:r>
        <w:rPr>
          <w:rFonts w:hint="eastAsia" w:ascii="仿宋_GB2312" w:hAnsi="宋体" w:eastAsia="仿宋_GB2312"/>
          <w:color w:val="auto"/>
          <w:sz w:val="32"/>
          <w:szCs w:val="32"/>
        </w:rPr>
        <w:t>总结</w:t>
      </w:r>
      <w:bookmarkEnd w:id="5"/>
      <w:r>
        <w:rPr>
          <w:rFonts w:hint="eastAsia" w:ascii="仿宋_GB2312" w:hAnsi="宋体" w:eastAsia="仿宋_GB2312"/>
          <w:color w:val="auto"/>
          <w:sz w:val="32"/>
          <w:szCs w:val="32"/>
        </w:rPr>
        <w:t>。</w:t>
      </w:r>
    </w:p>
    <w:p>
      <w:pPr>
        <w:snapToGrid w:val="0"/>
        <w:spacing w:line="520" w:lineRule="exact"/>
        <w:ind w:firstLine="643" w:firstLineChars="200"/>
        <w:jc w:val="left"/>
        <w:rPr>
          <w:rFonts w:hint="eastAsia" w:ascii="仿宋_GB2312" w:hAnsi="宋体" w:eastAsia="仿宋_GB2312"/>
          <w:color w:val="auto"/>
          <w:sz w:val="32"/>
          <w:szCs w:val="32"/>
        </w:rPr>
      </w:pPr>
      <w:r>
        <w:rPr>
          <w:rFonts w:hint="eastAsia" w:ascii="仿宋_GB2312" w:hAnsi="宋体" w:eastAsia="仿宋_GB2312"/>
          <w:b/>
          <w:bCs/>
          <w:color w:val="auto"/>
          <w:sz w:val="32"/>
          <w:szCs w:val="32"/>
        </w:rPr>
        <w:t>3.各用人单位：</w:t>
      </w:r>
      <w:r>
        <w:rPr>
          <w:rFonts w:hint="eastAsia" w:ascii="仿宋_GB2312" w:hAnsi="宋体" w:eastAsia="仿宋_GB2312"/>
          <w:color w:val="auto"/>
          <w:sz w:val="32"/>
          <w:szCs w:val="32"/>
        </w:rPr>
        <w:t>在区卫生健康委的组织下，明确项目负责部门及人员，负责填报、更新“北京市放射卫生监测数据库”并导出调查用表，配合市、区疾控中心完成现场监测工作，提供末次放射工作场所职业病危害因素检测报告，提供网络上报所需的相关数据与材料。</w:t>
      </w:r>
    </w:p>
    <w:p>
      <w:pPr>
        <w:snapToGrid w:val="0"/>
        <w:spacing w:line="520" w:lineRule="exact"/>
        <w:ind w:firstLine="640" w:firstLineChars="200"/>
        <w:jc w:val="left"/>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rPr>
        <w:t>（二）工作进度要求</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36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时间</w:t>
            </w:r>
          </w:p>
        </w:tc>
        <w:tc>
          <w:tcPr>
            <w:tcW w:w="1620"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工作阶段</w:t>
            </w:r>
          </w:p>
        </w:tc>
        <w:tc>
          <w:tcPr>
            <w:tcW w:w="6298" w:type="dxa"/>
            <w:vAlign w:val="center"/>
          </w:tcPr>
          <w:p>
            <w:pPr>
              <w:pStyle w:val="21"/>
              <w:jc w:val="center"/>
              <w:rPr>
                <w:rFonts w:ascii="仿宋_GB2312" w:hAnsi="宋体" w:eastAsia="仿宋_GB2312" w:cs="仿宋_GB2312"/>
                <w:color w:val="auto"/>
                <w:kern w:val="2"/>
                <w:sz w:val="28"/>
                <w:szCs w:val="28"/>
              </w:rPr>
            </w:pPr>
            <w:r>
              <w:rPr>
                <w:rFonts w:hint="eastAsia" w:ascii="仿宋_GB2312" w:hAnsi="宋体" w:eastAsia="仿宋_GB2312" w:cs="仿宋_GB2312"/>
                <w:color w:val="auto"/>
                <w:kern w:val="2"/>
                <w:sz w:val="28"/>
                <w:szCs w:val="28"/>
              </w:rPr>
              <w:t>工作进度要求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68" w:type="dxa"/>
            <w:vAlign w:val="center"/>
          </w:tcPr>
          <w:p>
            <w:pPr>
              <w:adjustRightInd w:val="0"/>
              <w:snapToGrid w:val="0"/>
              <w:spacing w:line="400" w:lineRule="exact"/>
              <w:jc w:val="center"/>
              <w:rPr>
                <w:rFonts w:hint="eastAsia" w:ascii="仿宋_GB2312" w:hAnsi="宋体" w:eastAsia="仿宋_GB2312" w:cs="仿宋_GB2312"/>
                <w:color w:val="auto"/>
                <w:sz w:val="28"/>
                <w:szCs w:val="28"/>
              </w:rPr>
            </w:pPr>
            <w:r>
              <w:rPr>
                <w:rFonts w:hint="eastAsia" w:ascii="仿宋_GB2312" w:hAnsi="仿宋_GB2312" w:eastAsia="仿宋_GB2312" w:cs="仿宋_GB2312"/>
                <w:color w:val="auto"/>
                <w:sz w:val="28"/>
                <w:szCs w:val="28"/>
                <w:lang w:val="en-US" w:eastAsia="zh-CN"/>
              </w:rPr>
              <w:t>8月</w:t>
            </w:r>
          </w:p>
        </w:tc>
        <w:tc>
          <w:tcPr>
            <w:tcW w:w="1620" w:type="dxa"/>
            <w:vAlign w:val="center"/>
          </w:tcPr>
          <w:p>
            <w:pPr>
              <w:adjustRightInd w:val="0"/>
              <w:snapToGrid w:val="0"/>
              <w:spacing w:line="400" w:lineRule="exact"/>
              <w:jc w:val="center"/>
              <w:rPr>
                <w:rFonts w:hint="eastAsia" w:ascii="仿宋_GB2312" w:hAnsi="宋体" w:eastAsia="仿宋_GB2312" w:cs="仿宋_GB2312"/>
                <w:color w:val="auto"/>
                <w:sz w:val="28"/>
                <w:szCs w:val="28"/>
              </w:rPr>
            </w:pPr>
            <w:r>
              <w:rPr>
                <w:rFonts w:hint="eastAsia" w:ascii="仿宋_GB2312" w:hAnsi="仿宋_GB2312" w:eastAsia="仿宋_GB2312" w:cs="仿宋_GB2312"/>
                <w:color w:val="auto"/>
                <w:sz w:val="28"/>
                <w:szCs w:val="28"/>
              </w:rPr>
              <w:t>项目启动、培训阶段</w:t>
            </w:r>
          </w:p>
        </w:tc>
        <w:tc>
          <w:tcPr>
            <w:tcW w:w="6298" w:type="dxa"/>
            <w:vAlign w:val="center"/>
          </w:tcPr>
          <w:p>
            <w:pPr>
              <w:adjustRightInd w:val="0"/>
              <w:snapToGrid w:val="0"/>
              <w:spacing w:line="40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月31日前，区卫生健康委及疾控中心完成辖区项目工作启动及培训，下发监测工作方案。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68" w:type="dxa"/>
            <w:vAlign w:val="center"/>
          </w:tcPr>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月～10月</w:t>
            </w:r>
          </w:p>
        </w:tc>
        <w:tc>
          <w:tcPr>
            <w:tcW w:w="1620" w:type="dxa"/>
            <w:vAlign w:val="center"/>
          </w:tcPr>
          <w:p>
            <w:pPr>
              <w:adjustRightInd w:val="0"/>
              <w:snapToGrid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数据采集</w:t>
            </w:r>
          </w:p>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阶段</w:t>
            </w:r>
          </w:p>
        </w:tc>
        <w:tc>
          <w:tcPr>
            <w:tcW w:w="6298" w:type="dxa"/>
            <w:vAlign w:val="center"/>
          </w:tcPr>
          <w:p>
            <w:pPr>
              <w:adjustRightInd w:val="0"/>
              <w:snapToGrid w:val="0"/>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①8月31日前，各用人单位按要求填报、更新“北京市放射卫生监测数据库”，导出调查表报区疾控中心；</w:t>
            </w:r>
          </w:p>
          <w:p>
            <w:pPr>
              <w:adjustRightInd w:val="0"/>
              <w:snapToGrid w:val="0"/>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②10月20日前，区疾控中心完成监测工作；区卫生健康委组织完成项目自查。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68" w:type="dxa"/>
            <w:vAlign w:val="center"/>
          </w:tcPr>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月～1</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p>
        </w:tc>
        <w:tc>
          <w:tcPr>
            <w:tcW w:w="1620" w:type="dxa"/>
            <w:vAlign w:val="center"/>
          </w:tcPr>
          <w:p>
            <w:pPr>
              <w:adjustRightInd w:val="0"/>
              <w:snapToGrid w:val="0"/>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数据复核与录入</w:t>
            </w:r>
          </w:p>
        </w:tc>
        <w:tc>
          <w:tcPr>
            <w:tcW w:w="6298" w:type="dxa"/>
            <w:vAlign w:val="center"/>
          </w:tcPr>
          <w:p>
            <w:pPr>
              <w:adjustRightInd w:val="0"/>
              <w:snapToGrid w:val="0"/>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①10月31日前，区疾控中心核对并汇总用人单位调查表后，将辖区汇总数据、监测数据和工作总结上报至市疾控中心；</w:t>
            </w:r>
          </w:p>
          <w:p>
            <w:pPr>
              <w:adjustRightInd w:val="0"/>
              <w:snapToGrid w:val="0"/>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②11月5日前，区疾控中心完成辖区内监测数据的网上录入。</w:t>
            </w:r>
          </w:p>
        </w:tc>
      </w:tr>
    </w:tbl>
    <w:p>
      <w:pPr>
        <w:snapToGrid w:val="0"/>
        <w:spacing w:line="520" w:lineRule="exact"/>
        <w:ind w:firstLine="640" w:firstLineChars="200"/>
        <w:jc w:val="left"/>
        <w:rPr>
          <w:rFonts w:ascii="楷体_GB2312" w:hAnsi="楷体" w:eastAsia="楷体_GB2312"/>
          <w:color w:val="auto"/>
          <w:sz w:val="32"/>
          <w:szCs w:val="32"/>
        </w:rPr>
      </w:pPr>
      <w:r>
        <w:rPr>
          <w:rFonts w:hint="eastAsia" w:ascii="楷体_GB2312" w:hAnsi="楷体" w:eastAsia="楷体_GB2312" w:cs="楷体_GB2312"/>
          <w:color w:val="auto"/>
          <w:sz w:val="32"/>
          <w:szCs w:val="32"/>
        </w:rPr>
        <w:t>（三）数据报送</w:t>
      </w:r>
    </w:p>
    <w:p>
      <w:pPr>
        <w:snapToGrid w:val="0"/>
        <w:spacing w:line="520" w:lineRule="exact"/>
        <w:ind w:firstLine="640" w:firstLineChars="200"/>
        <w:jc w:val="left"/>
        <w:rPr>
          <w:rFonts w:ascii="仿宋_GB2312" w:eastAsia="仿宋_GB2312"/>
          <w:color w:val="auto"/>
          <w:sz w:val="32"/>
          <w:szCs w:val="32"/>
        </w:rPr>
      </w:pPr>
      <w:r>
        <w:rPr>
          <w:rFonts w:hint="eastAsia" w:ascii="仿宋_GB2312" w:eastAsia="仿宋_GB2312" w:cs="仿宋_GB2312"/>
          <w:color w:val="auto"/>
          <w:sz w:val="32"/>
          <w:szCs w:val="32"/>
        </w:rPr>
        <w:t>各职责单位按上述时间节点报送数据。</w:t>
      </w:r>
    </w:p>
    <w:p>
      <w:pPr>
        <w:snapToGrid w:val="0"/>
        <w:spacing w:line="520" w:lineRule="exact"/>
        <w:ind w:firstLine="640" w:firstLineChars="200"/>
        <w:jc w:val="left"/>
        <w:rPr>
          <w:rFonts w:ascii="楷体_GB2312" w:hAnsi="楷体" w:eastAsia="楷体_GB2312"/>
          <w:color w:val="auto"/>
          <w:sz w:val="32"/>
          <w:szCs w:val="32"/>
          <w:highlight w:val="none"/>
        </w:rPr>
      </w:pPr>
      <w:r>
        <w:rPr>
          <w:rFonts w:hint="eastAsia" w:ascii="楷体_GB2312" w:hAnsi="楷体" w:eastAsia="楷体_GB2312" w:cs="楷体_GB2312"/>
          <w:color w:val="auto"/>
          <w:sz w:val="32"/>
          <w:szCs w:val="32"/>
          <w:highlight w:val="none"/>
        </w:rPr>
        <w:t>（</w:t>
      </w:r>
      <w:r>
        <w:rPr>
          <w:rFonts w:hint="eastAsia" w:ascii="楷体_GB2312" w:hAnsi="楷体" w:eastAsia="楷体_GB2312" w:cs="楷体_GB2312"/>
          <w:color w:val="auto"/>
          <w:sz w:val="32"/>
          <w:szCs w:val="32"/>
          <w:highlight w:val="none"/>
          <w:lang w:eastAsia="zh-CN"/>
        </w:rPr>
        <w:t>四</w:t>
      </w:r>
      <w:r>
        <w:rPr>
          <w:rFonts w:hint="eastAsia" w:ascii="楷体_GB2312" w:hAnsi="楷体" w:eastAsia="楷体_GB2312" w:cs="楷体_GB2312"/>
          <w:color w:val="auto"/>
          <w:sz w:val="32"/>
          <w:szCs w:val="32"/>
          <w:highlight w:val="none"/>
        </w:rPr>
        <w:t>）质量控制</w:t>
      </w:r>
    </w:p>
    <w:p>
      <w:pPr>
        <w:snapToGrid w:val="0"/>
        <w:spacing w:line="52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1.区卫生健康委要按照质量控制方案，加强对项目的组织管理，严格按项目要求和技术规范落实工作，定期组织开展对项目执行进度、完成质量等情况的指导检查。</w:t>
      </w:r>
    </w:p>
    <w:p>
      <w:pPr>
        <w:snapToGrid w:val="0"/>
        <w:spacing w:line="52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区</w:t>
      </w:r>
      <w:r>
        <w:rPr>
          <w:rFonts w:hint="eastAsia" w:ascii="仿宋_GB2312" w:eastAsia="仿宋_GB2312" w:cs="仿宋_GB2312"/>
          <w:color w:val="auto"/>
          <w:sz w:val="32"/>
          <w:szCs w:val="32"/>
          <w:highlight w:val="none"/>
          <w:lang w:eastAsia="zh-CN"/>
        </w:rPr>
        <w:t>疾控中心应依据国家有关职业病防治法律、法规和技术标准、规范，合法合规开展监测工作，确保检测操作程序规范，检测结果科学可靠。如检测结果有异常，应组织人员进行现场复核和验证，重大质量问题及时向区卫生健康委报告。对不符合逻辑的调查表数据，应要求用人单位对数据进行核实，核实无误后上报。按时组织人员通过全国放射卫生信息平台进行监测数据的填报。</w:t>
      </w:r>
    </w:p>
    <w:p>
      <w:pPr>
        <w:snapToGrid w:val="0"/>
        <w:spacing w:line="520" w:lineRule="exact"/>
        <w:ind w:firstLine="640" w:firstLineChars="200"/>
        <w:jc w:val="left"/>
        <w:rPr>
          <w:rFonts w:hint="eastAsia"/>
          <w:color w:val="auto"/>
        </w:rPr>
      </w:pP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各</w:t>
      </w:r>
      <w:r>
        <w:rPr>
          <w:rFonts w:hint="eastAsia" w:ascii="仿宋_GB2312" w:eastAsia="仿宋_GB2312" w:cs="仿宋_GB2312"/>
          <w:color w:val="auto"/>
          <w:sz w:val="32"/>
          <w:szCs w:val="32"/>
          <w:highlight w:val="none"/>
          <w:lang w:eastAsia="zh-CN"/>
        </w:rPr>
        <w:t>用人单位应按要求如实填写调查表，注意数据录入环节的校验，减少数据差错和中间环节，保证数据报送的准确性。</w:t>
      </w:r>
    </w:p>
    <w:p>
      <w:pPr>
        <w:snapToGrid w:val="0"/>
        <w:spacing w:line="520" w:lineRule="atLeast"/>
        <w:jc w:val="left"/>
        <w:rPr>
          <w:rFonts w:ascii="仿宋_GB2312" w:eastAsia="仿宋_GB2312"/>
          <w:color w:val="auto"/>
          <w:sz w:val="32"/>
          <w:szCs w:val="32"/>
        </w:rPr>
      </w:pPr>
    </w:p>
    <w:p>
      <w:pPr>
        <w:snapToGrid w:val="0"/>
        <w:spacing w:line="520" w:lineRule="exact"/>
        <w:ind w:left="1893" w:leftChars="303" w:hanging="1257" w:hangingChars="393"/>
        <w:jc w:val="left"/>
        <w:rPr>
          <w:rFonts w:hint="eastAsia" w:ascii="仿宋_GB2312" w:eastAsia="仿宋_GB2312" w:cs="仿宋_GB2312"/>
          <w:color w:val="auto"/>
          <w:sz w:val="32"/>
          <w:szCs w:val="32"/>
        </w:rPr>
      </w:pPr>
      <w:r>
        <w:rPr>
          <w:rFonts w:hint="eastAsia" w:ascii="仿宋_GB2312" w:eastAsia="仿宋_GB2312" w:cs="仿宋_GB2312"/>
          <w:color w:val="auto"/>
          <w:sz w:val="32"/>
          <w:szCs w:val="32"/>
        </w:rPr>
        <w:t>附表：1．2022年北京市非医疗机构放射工作单位基本情况和职业健康管理情况调查表</w:t>
      </w:r>
    </w:p>
    <w:p>
      <w:pPr>
        <w:snapToGrid w:val="0"/>
        <w:spacing w:line="520" w:lineRule="exact"/>
        <w:ind w:left="1916" w:leftChars="760" w:hanging="320" w:hangingChars="100"/>
        <w:jc w:val="left"/>
        <w:rPr>
          <w:rFonts w:hint="eastAsia" w:ascii="仿宋_GB2312" w:eastAsia="仿宋_GB2312" w:cs="仿宋_GB2312"/>
          <w:color w:val="auto"/>
          <w:sz w:val="32"/>
          <w:szCs w:val="32"/>
        </w:rPr>
      </w:pPr>
      <w:r>
        <w:rPr>
          <w:rFonts w:hint="eastAsia" w:ascii="仿宋_GB2312" w:eastAsia="仿宋_GB2312" w:cs="仿宋_GB2312"/>
          <w:color w:val="auto"/>
          <w:sz w:val="32"/>
          <w:szCs w:val="32"/>
        </w:rPr>
        <w:t>2．2022年北京市非医疗机构放射工作单位基本信息汇总表</w:t>
      </w:r>
    </w:p>
    <w:p>
      <w:pPr>
        <w:widowControl/>
        <w:outlineLvl w:val="1"/>
        <w:rPr>
          <w:rFonts w:ascii="黑体" w:hAnsi="黑体" w:eastAsia="黑体" w:cs="黑体"/>
          <w:bCs/>
          <w:color w:val="auto"/>
          <w:sz w:val="32"/>
          <w:szCs w:val="32"/>
        </w:rPr>
      </w:pPr>
      <w:r>
        <w:rPr>
          <w:rFonts w:hint="eastAsia" w:cs="仿宋_GB2312"/>
          <w:color w:val="auto"/>
          <w:szCs w:val="18"/>
        </w:rPr>
        <w:br w:type="page"/>
      </w:r>
      <w:r>
        <w:rPr>
          <w:rFonts w:hint="eastAsia" w:ascii="黑体" w:hAnsi="黑体" w:eastAsia="黑体" w:cs="黑体"/>
          <w:bCs/>
          <w:color w:val="auto"/>
          <w:sz w:val="32"/>
          <w:szCs w:val="32"/>
        </w:rPr>
        <w:t>附表1</w:t>
      </w:r>
    </w:p>
    <w:p>
      <w:pPr>
        <w:snapToGrid w:val="0"/>
        <w:ind w:left="2462" w:hanging="2462"/>
        <w:jc w:val="center"/>
        <w:rPr>
          <w:rFonts w:hint="eastAsia" w:ascii="方正小标宋简体" w:hAnsi="方正小标宋简体" w:eastAsia="方正小标宋简体" w:cs="方正小标宋简体"/>
          <w:color w:val="auto"/>
          <w:spacing w:val="-6"/>
          <w:sz w:val="30"/>
          <w:szCs w:val="30"/>
          <w:lang w:eastAsia="zh-CN"/>
        </w:rPr>
      </w:pPr>
      <w:r>
        <w:rPr>
          <w:rFonts w:hint="eastAsia" w:ascii="方正小标宋简体" w:hAnsi="方正小标宋简体" w:eastAsia="方正小标宋简体" w:cs="方正小标宋简体"/>
          <w:color w:val="auto"/>
          <w:spacing w:val="-6"/>
          <w:sz w:val="30"/>
          <w:szCs w:val="30"/>
          <w:lang w:eastAsia="zh-CN"/>
        </w:rPr>
        <w:t>202</w:t>
      </w:r>
      <w:r>
        <w:rPr>
          <w:rFonts w:hint="eastAsia" w:ascii="方正小标宋简体" w:hAnsi="方正小标宋简体" w:eastAsia="方正小标宋简体" w:cs="方正小标宋简体"/>
          <w:color w:val="auto"/>
          <w:spacing w:val="-6"/>
          <w:sz w:val="30"/>
          <w:szCs w:val="30"/>
          <w:lang w:val="en-US" w:eastAsia="zh-CN"/>
        </w:rPr>
        <w:t>2</w:t>
      </w:r>
      <w:r>
        <w:rPr>
          <w:rFonts w:hint="eastAsia" w:ascii="方正小标宋简体" w:hAnsi="方正小标宋简体" w:eastAsia="方正小标宋简体" w:cs="方正小标宋简体"/>
          <w:color w:val="auto"/>
          <w:spacing w:val="-6"/>
          <w:sz w:val="30"/>
          <w:szCs w:val="30"/>
        </w:rPr>
        <w:t>年北京市非医疗机构</w:t>
      </w:r>
      <w:r>
        <w:rPr>
          <w:rFonts w:hint="eastAsia" w:ascii="方正小标宋简体" w:hAnsi="方正小标宋简体" w:eastAsia="方正小标宋简体" w:cs="方正小标宋简体"/>
          <w:color w:val="auto"/>
          <w:spacing w:val="-6"/>
          <w:sz w:val="30"/>
          <w:szCs w:val="30"/>
          <w:lang w:eastAsia="zh-CN"/>
        </w:rPr>
        <w:t>放射工作单位基本情况</w:t>
      </w:r>
    </w:p>
    <w:p>
      <w:pPr>
        <w:snapToGrid w:val="0"/>
        <w:ind w:left="2462" w:hanging="2462"/>
        <w:jc w:val="center"/>
        <w:rPr>
          <w:rFonts w:hint="eastAsia" w:ascii="方正小标宋简体" w:hAnsi="方正小标宋简体" w:eastAsia="方正小标宋简体" w:cs="方正小标宋简体"/>
          <w:color w:val="auto"/>
          <w:spacing w:val="-6"/>
          <w:sz w:val="30"/>
          <w:szCs w:val="30"/>
        </w:rPr>
      </w:pPr>
      <w:r>
        <w:rPr>
          <w:rFonts w:hint="eastAsia" w:ascii="方正小标宋简体" w:hAnsi="方正小标宋简体" w:eastAsia="方正小标宋简体" w:cs="方正小标宋简体"/>
          <w:color w:val="auto"/>
          <w:spacing w:val="-6"/>
          <w:sz w:val="30"/>
          <w:szCs w:val="30"/>
          <w:lang w:eastAsia="zh-CN"/>
        </w:rPr>
        <w:t>和</w:t>
      </w:r>
      <w:r>
        <w:rPr>
          <w:rFonts w:hint="eastAsia" w:ascii="方正小标宋简体" w:hAnsi="方正小标宋简体" w:eastAsia="方正小标宋简体" w:cs="方正小标宋简体"/>
          <w:b w:val="0"/>
          <w:color w:val="auto"/>
          <w:spacing w:val="-6"/>
          <w:sz w:val="30"/>
          <w:szCs w:val="30"/>
        </w:rPr>
        <w:t>职业健康管理</w:t>
      </w:r>
      <w:r>
        <w:rPr>
          <w:rFonts w:hint="eastAsia" w:ascii="方正小标宋简体" w:hAnsi="方正小标宋简体" w:eastAsia="方正小标宋简体" w:cs="方正小标宋简体"/>
          <w:color w:val="auto"/>
          <w:spacing w:val="-6"/>
          <w:sz w:val="30"/>
          <w:szCs w:val="30"/>
          <w:lang w:eastAsia="zh-CN"/>
        </w:rPr>
        <w:t>情况</w:t>
      </w:r>
      <w:r>
        <w:rPr>
          <w:rFonts w:hint="eastAsia" w:ascii="方正小标宋简体" w:hAnsi="方正小标宋简体" w:eastAsia="方正小标宋简体" w:cs="方正小标宋简体"/>
          <w:color w:val="auto"/>
          <w:spacing w:val="-6"/>
          <w:sz w:val="30"/>
          <w:szCs w:val="30"/>
        </w:rPr>
        <w:t>调查表</w:t>
      </w:r>
    </w:p>
    <w:tbl>
      <w:tblPr>
        <w:tblStyle w:val="13"/>
        <w:tblW w:w="875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6"/>
        <w:gridCol w:w="1774"/>
        <w:gridCol w:w="1971"/>
        <w:gridCol w:w="1325"/>
        <w:gridCol w:w="2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jc w:val="center"/>
        </w:trPr>
        <w:tc>
          <w:tcPr>
            <w:tcW w:w="1126" w:type="dxa"/>
            <w:vAlign w:val="center"/>
          </w:tcPr>
          <w:p>
            <w:pPr>
              <w:spacing w:line="240" w:lineRule="exact"/>
              <w:jc w:val="center"/>
              <w:rPr>
                <w:rFonts w:ascii="Times New Roman" w:hAnsi="Times New Roman" w:eastAsia="楷体_GB2312" w:cs="Times New Roman"/>
                <w:b w:val="0"/>
                <w:bCs w:val="0"/>
                <w:color w:val="auto"/>
                <w:sz w:val="21"/>
                <w:szCs w:val="21"/>
              </w:rPr>
            </w:pPr>
            <w:r>
              <w:rPr>
                <w:rFonts w:ascii="Times New Roman" w:hAnsi="Times New Roman" w:eastAsia="楷体_GB2312" w:cs="Times New Roman"/>
                <w:b w:val="0"/>
                <w:bCs w:val="0"/>
                <w:color w:val="auto"/>
                <w:sz w:val="21"/>
                <w:szCs w:val="21"/>
              </w:rPr>
              <w:t>调查表</w:t>
            </w:r>
          </w:p>
          <w:p>
            <w:pPr>
              <w:spacing w:line="240" w:lineRule="exact"/>
              <w:jc w:val="center"/>
              <w:rPr>
                <w:rFonts w:ascii="Times New Roman" w:hAnsi="Times New Roman" w:eastAsia="楷体_GB2312" w:cs="Times New Roman"/>
                <w:color w:val="auto"/>
                <w:sz w:val="18"/>
                <w:szCs w:val="18"/>
              </w:rPr>
            </w:pPr>
            <w:r>
              <w:rPr>
                <w:rFonts w:ascii="Times New Roman" w:hAnsi="Times New Roman" w:eastAsia="楷体_GB2312" w:cs="Times New Roman"/>
                <w:b w:val="0"/>
                <w:bCs w:val="0"/>
                <w:color w:val="auto"/>
                <w:sz w:val="21"/>
                <w:szCs w:val="21"/>
              </w:rPr>
              <w:t>编号</w:t>
            </w:r>
          </w:p>
        </w:tc>
        <w:tc>
          <w:tcPr>
            <w:tcW w:w="3745" w:type="dxa"/>
            <w:gridSpan w:val="2"/>
            <w:vAlign w:val="center"/>
          </w:tcPr>
          <w:p>
            <w:pPr>
              <w:spacing w:line="240" w:lineRule="exact"/>
              <w:jc w:val="center"/>
              <w:rPr>
                <w:rFonts w:ascii="Times New Roman" w:hAnsi="Times New Roman" w:eastAsia="楷体_GB2312" w:cs="Times New Roman"/>
                <w:color w:val="auto"/>
                <w:sz w:val="18"/>
                <w:szCs w:val="18"/>
              </w:rPr>
            </w:pPr>
          </w:p>
        </w:tc>
        <w:tc>
          <w:tcPr>
            <w:tcW w:w="1325" w:type="dxa"/>
            <w:vAlign w:val="center"/>
          </w:tcPr>
          <w:p>
            <w:pPr>
              <w:spacing w:line="240" w:lineRule="exact"/>
              <w:jc w:val="center"/>
              <w:rPr>
                <w:rFonts w:ascii="Times New Roman" w:hAnsi="Times New Roman" w:eastAsia="楷体_GB2312" w:cs="Times New Roman"/>
                <w:color w:val="auto"/>
                <w:sz w:val="18"/>
                <w:szCs w:val="18"/>
              </w:rPr>
            </w:pPr>
            <w:r>
              <w:rPr>
                <w:rFonts w:ascii="Times New Roman" w:hAnsi="Times New Roman" w:eastAsia="楷体_GB2312" w:cs="Times New Roman"/>
                <w:color w:val="auto"/>
                <w:sz w:val="21"/>
                <w:szCs w:val="21"/>
              </w:rPr>
              <w:t>调查员</w:t>
            </w:r>
          </w:p>
        </w:tc>
        <w:tc>
          <w:tcPr>
            <w:tcW w:w="2556" w:type="dxa"/>
            <w:vAlign w:val="center"/>
          </w:tcPr>
          <w:p>
            <w:pPr>
              <w:spacing w:line="240" w:lineRule="exact"/>
              <w:jc w:val="center"/>
              <w:rPr>
                <w:rFonts w:ascii="Times New Roman" w:hAnsi="Times New Roman" w:eastAsia="楷体_GB2312" w:cs="Times New Roman"/>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126" w:type="dxa"/>
            <w:vAlign w:val="center"/>
          </w:tcPr>
          <w:p>
            <w:pPr>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调查日期</w:t>
            </w:r>
          </w:p>
        </w:tc>
        <w:tc>
          <w:tcPr>
            <w:tcW w:w="3745" w:type="dxa"/>
            <w:gridSpan w:val="2"/>
            <w:vAlign w:val="center"/>
          </w:tcPr>
          <w:p>
            <w:pPr>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年</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月</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日</w:t>
            </w:r>
          </w:p>
        </w:tc>
        <w:tc>
          <w:tcPr>
            <w:tcW w:w="1325" w:type="dxa"/>
            <w:vAlign w:val="center"/>
          </w:tcPr>
          <w:p>
            <w:pPr>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审核人</w:t>
            </w:r>
          </w:p>
        </w:tc>
        <w:tc>
          <w:tcPr>
            <w:tcW w:w="2556" w:type="dxa"/>
            <w:vAlign w:val="center"/>
          </w:tcPr>
          <w:p>
            <w:pPr>
              <w:spacing w:line="240" w:lineRule="exact"/>
              <w:jc w:val="center"/>
              <w:rPr>
                <w:rFonts w:ascii="Times New Roman" w:hAnsi="Times New Roman" w:eastAsia="楷体_GB2312"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0" w:hRule="exact"/>
          <w:jc w:val="center"/>
        </w:trPr>
        <w:tc>
          <w:tcPr>
            <w:tcW w:w="8752" w:type="dxa"/>
            <w:gridSpan w:val="5"/>
            <w:vAlign w:val="top"/>
          </w:tcPr>
          <w:p>
            <w:pPr>
              <w:spacing w:line="240" w:lineRule="exact"/>
              <w:jc w:val="center"/>
              <w:rPr>
                <w:rFonts w:ascii="Times New Roman" w:hAnsi="Times New Roman" w:eastAsia="楷体_GB2312"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jc w:val="center"/>
        </w:trPr>
        <w:tc>
          <w:tcPr>
            <w:tcW w:w="1126" w:type="dxa"/>
            <w:vMerge w:val="restart"/>
            <w:vAlign w:val="center"/>
          </w:tcPr>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用</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人</w:t>
            </w:r>
          </w:p>
          <w:p>
            <w:pPr>
              <w:snapToGrid w:val="0"/>
              <w:spacing w:line="240" w:lineRule="exact"/>
              <w:ind w:left="210" w:leftChars="100" w:right="210" w:rightChars="100"/>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单</w:t>
            </w:r>
          </w:p>
          <w:p>
            <w:pPr>
              <w:snapToGrid w:val="0"/>
              <w:spacing w:line="240" w:lineRule="exact"/>
              <w:ind w:left="210" w:leftChars="100" w:right="210" w:rightChars="100"/>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位</w:t>
            </w:r>
          </w:p>
          <w:p>
            <w:pPr>
              <w:snapToGrid w:val="0"/>
              <w:spacing w:line="240" w:lineRule="exact"/>
              <w:ind w:left="210" w:leftChars="100" w:right="210" w:rightChars="100"/>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基</w:t>
            </w:r>
          </w:p>
          <w:p>
            <w:pPr>
              <w:snapToGrid w:val="0"/>
              <w:spacing w:line="240" w:lineRule="exact"/>
              <w:ind w:left="210" w:leftChars="100" w:right="210" w:rightChars="100"/>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本</w:t>
            </w:r>
          </w:p>
          <w:p>
            <w:pPr>
              <w:snapToGrid w:val="0"/>
              <w:spacing w:line="240" w:lineRule="exact"/>
              <w:ind w:left="210" w:leftChars="100" w:right="210" w:rightChars="100"/>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信</w:t>
            </w:r>
          </w:p>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b w:val="0"/>
                <w:bCs w:val="0"/>
                <w:color w:val="auto"/>
                <w:sz w:val="24"/>
                <w:szCs w:val="24"/>
              </w:rPr>
              <w:t>息</w:t>
            </w: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用人单位名称</w:t>
            </w:r>
          </w:p>
        </w:tc>
        <w:tc>
          <w:tcPr>
            <w:tcW w:w="5852" w:type="dxa"/>
            <w:gridSpan w:val="3"/>
            <w:vAlign w:val="center"/>
          </w:tcPr>
          <w:p>
            <w:pPr>
              <w:snapToGrid w:val="0"/>
              <w:spacing w:line="240" w:lineRule="exact"/>
              <w:jc w:val="center"/>
              <w:rPr>
                <w:rFonts w:ascii="Times New Roman" w:hAnsi="Times New Roman" w:eastAsia="楷体_GB2312"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1126" w:type="dxa"/>
            <w:vMerge w:val="continue"/>
            <w:vAlign w:val="top"/>
          </w:tcPr>
          <w:p>
            <w:pPr>
              <w:snapToGrid w:val="0"/>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统一社会</w:t>
            </w:r>
          </w:p>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信用代码</w:t>
            </w:r>
          </w:p>
        </w:tc>
        <w:tc>
          <w:tcPr>
            <w:tcW w:w="5852" w:type="dxa"/>
            <w:gridSpan w:val="3"/>
            <w:vAlign w:val="center"/>
          </w:tcPr>
          <w:p>
            <w:pPr>
              <w:snapToGrid w:val="0"/>
              <w:spacing w:line="240" w:lineRule="exact"/>
              <w:jc w:val="center"/>
              <w:rPr>
                <w:rFonts w:ascii="Times New Roman" w:hAnsi="Times New Roman" w:eastAsia="楷体_GB2312"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u w:val="single"/>
              </w:rPr>
            </w:pPr>
            <w:r>
              <w:rPr>
                <w:rFonts w:ascii="Times New Roman" w:hAnsi="Times New Roman" w:eastAsia="楷体_GB2312" w:cs="Times New Roman"/>
                <w:color w:val="auto"/>
                <w:sz w:val="21"/>
                <w:szCs w:val="21"/>
              </w:rPr>
              <w:t>工作场所地址</w:t>
            </w:r>
          </w:p>
        </w:tc>
        <w:tc>
          <w:tcPr>
            <w:tcW w:w="5852" w:type="dxa"/>
            <w:gridSpan w:val="3"/>
            <w:vAlign w:val="center"/>
          </w:tcPr>
          <w:p>
            <w:pPr>
              <w:rPr>
                <w:rFonts w:hint="eastAsia" w:ascii="仿宋" w:hAnsi="仿宋" w:eastAsia="仿宋"/>
                <w:color w:val="auto"/>
                <w:sz w:val="21"/>
                <w:szCs w:val="21"/>
                <w:lang w:eastAsia="zh-CN"/>
              </w:rPr>
            </w:pPr>
            <w:r>
              <w:rPr>
                <w:rFonts w:hint="eastAsia" w:ascii="仿宋" w:hAnsi="仿宋" w:eastAsia="仿宋"/>
                <w:color w:val="auto"/>
                <w:sz w:val="21"/>
                <w:szCs w:val="21"/>
                <w:lang w:eastAsia="zh-CN"/>
              </w:rPr>
              <w:t>__________市__________区</w:t>
            </w:r>
          </w:p>
          <w:p>
            <w:pPr>
              <w:rPr>
                <w:rFonts w:ascii="Times New Roman" w:hAnsi="Times New Roman" w:eastAsia="楷体_GB2312" w:cs="Times New Roman"/>
                <w:color w:val="auto"/>
                <w:sz w:val="21"/>
                <w:szCs w:val="21"/>
              </w:rPr>
            </w:pPr>
            <w:r>
              <w:rPr>
                <w:rFonts w:hint="eastAsia" w:ascii="仿宋" w:hAnsi="仿宋" w:eastAsia="仿宋"/>
                <w:color w:val="auto"/>
                <w:sz w:val="21"/>
                <w:szCs w:val="21"/>
                <w:lang w:eastAsia="zh-CN"/>
              </w:rPr>
              <w:t>___________________________</w:t>
            </w:r>
            <w:r>
              <w:rPr>
                <w:rFonts w:hint="eastAsia" w:ascii="仿宋" w:hAnsi="仿宋" w:eastAsia="仿宋" w:cs="仿宋_GB2312"/>
                <w:color w:val="auto"/>
                <w:sz w:val="21"/>
                <w:szCs w:val="21"/>
                <w:lang w:eastAsia="zh-CN"/>
              </w:rPr>
              <w:t>街（乡、镇）</w:t>
            </w:r>
            <w:r>
              <w:rPr>
                <w:rFonts w:hint="eastAsia" w:ascii="仿宋" w:hAnsi="仿宋" w:eastAsia="仿宋" w:cs="仿宋_GB2312"/>
                <w:color w:val="auto"/>
                <w:sz w:val="21"/>
                <w:szCs w:val="21"/>
                <w:lang w:val="en-US" w:eastAsia="zh-CN"/>
              </w:rPr>
              <w:t xml:space="preserve"> </w:t>
            </w:r>
            <w:r>
              <w:rPr>
                <w:rFonts w:hint="eastAsia" w:ascii="仿宋" w:hAnsi="仿宋" w:eastAsia="仿宋"/>
                <w:color w:val="auto"/>
                <w:sz w:val="21"/>
                <w:szCs w:val="21"/>
                <w:lang w:eastAsia="zh-CN"/>
              </w:rPr>
              <w:t>_______</w:t>
            </w:r>
            <w:r>
              <w:rPr>
                <w:rFonts w:hint="eastAsia" w:ascii="仿宋" w:hAnsi="仿宋" w:eastAsia="仿宋" w:cs="仿宋_GB2312"/>
                <w:color w:val="auto"/>
                <w:sz w:val="21"/>
                <w:szCs w:val="21"/>
                <w:lang w:eastAsia="zh-CN"/>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单位注册地址</w:t>
            </w:r>
          </w:p>
        </w:tc>
        <w:tc>
          <w:tcPr>
            <w:tcW w:w="5852" w:type="dxa"/>
            <w:gridSpan w:val="3"/>
            <w:vAlign w:val="center"/>
          </w:tcPr>
          <w:p>
            <w:pPr>
              <w:rPr>
                <w:rFonts w:hint="eastAsia" w:ascii="仿宋" w:hAnsi="仿宋" w:eastAsia="仿宋"/>
                <w:color w:val="auto"/>
                <w:sz w:val="21"/>
                <w:szCs w:val="21"/>
                <w:lang w:eastAsia="zh-CN"/>
              </w:rPr>
            </w:pPr>
            <w:r>
              <w:rPr>
                <w:rFonts w:hint="eastAsia" w:ascii="仿宋" w:hAnsi="仿宋" w:eastAsia="仿宋"/>
                <w:color w:val="auto"/>
                <w:sz w:val="21"/>
                <w:szCs w:val="21"/>
                <w:lang w:eastAsia="zh-CN"/>
              </w:rPr>
              <w:t>__________市__________区</w:t>
            </w:r>
          </w:p>
          <w:p>
            <w:pPr>
              <w:snapToGrid w:val="0"/>
              <w:spacing w:line="240" w:lineRule="exact"/>
              <w:rPr>
                <w:rFonts w:ascii="Times New Roman" w:hAnsi="Times New Roman" w:eastAsia="楷体_GB2312" w:cs="Times New Roman"/>
                <w:color w:val="auto"/>
                <w:sz w:val="21"/>
                <w:szCs w:val="21"/>
              </w:rPr>
            </w:pPr>
            <w:r>
              <w:rPr>
                <w:rFonts w:hint="eastAsia" w:ascii="仿宋" w:hAnsi="仿宋" w:eastAsia="仿宋"/>
                <w:color w:val="auto"/>
                <w:sz w:val="21"/>
                <w:szCs w:val="21"/>
                <w:lang w:eastAsia="zh-CN"/>
              </w:rPr>
              <w:t>___________________________</w:t>
            </w:r>
            <w:r>
              <w:rPr>
                <w:rFonts w:hint="eastAsia" w:ascii="仿宋" w:hAnsi="仿宋" w:eastAsia="仿宋" w:cs="仿宋_GB2312"/>
                <w:color w:val="auto"/>
                <w:sz w:val="21"/>
                <w:szCs w:val="21"/>
                <w:lang w:eastAsia="zh-CN"/>
              </w:rPr>
              <w:t>街（乡、镇）</w:t>
            </w:r>
            <w:r>
              <w:rPr>
                <w:rFonts w:hint="eastAsia" w:ascii="仿宋" w:hAnsi="仿宋" w:eastAsia="仿宋" w:cs="仿宋_GB2312"/>
                <w:color w:val="auto"/>
                <w:sz w:val="21"/>
                <w:szCs w:val="21"/>
                <w:lang w:val="en-US" w:eastAsia="zh-CN"/>
              </w:rPr>
              <w:t xml:space="preserve"> </w:t>
            </w:r>
            <w:r>
              <w:rPr>
                <w:rFonts w:hint="eastAsia" w:ascii="仿宋" w:hAnsi="仿宋" w:eastAsia="仿宋"/>
                <w:color w:val="auto"/>
                <w:sz w:val="21"/>
                <w:szCs w:val="21"/>
                <w:lang w:eastAsia="zh-CN"/>
              </w:rPr>
              <w:t>_______</w:t>
            </w:r>
            <w:r>
              <w:rPr>
                <w:rFonts w:hint="eastAsia" w:ascii="仿宋" w:hAnsi="仿宋" w:eastAsia="仿宋" w:cs="仿宋_GB2312"/>
                <w:color w:val="auto"/>
                <w:sz w:val="21"/>
                <w:szCs w:val="21"/>
                <w:lang w:eastAsia="zh-CN"/>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color w:val="auto"/>
              </w:rPr>
            </w:pPr>
            <w:r>
              <w:rPr>
                <w:rFonts w:eastAsia="楷体_GB2312"/>
                <w:color w:val="auto"/>
                <w:szCs w:val="21"/>
              </w:rPr>
              <w:t>行业代码</w:t>
            </w:r>
          </w:p>
        </w:tc>
        <w:tc>
          <w:tcPr>
            <w:tcW w:w="1971" w:type="dxa"/>
            <w:vAlign w:val="center"/>
          </w:tcPr>
          <w:p>
            <w:pPr>
              <w:snapToGrid w:val="0"/>
              <w:spacing w:line="240" w:lineRule="exact"/>
              <w:jc w:val="center"/>
              <w:rPr>
                <w:rFonts w:ascii="Times New Roman" w:hAnsi="Times New Roman" w:eastAsia="楷体_GB2312" w:cs="Times New Roman"/>
                <w:color w:val="auto"/>
                <w:sz w:val="21"/>
                <w:szCs w:val="21"/>
              </w:rPr>
            </w:pPr>
          </w:p>
        </w:tc>
        <w:tc>
          <w:tcPr>
            <w:tcW w:w="1325"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法人代表</w:t>
            </w:r>
          </w:p>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姓名</w:t>
            </w:r>
          </w:p>
        </w:tc>
        <w:tc>
          <w:tcPr>
            <w:tcW w:w="2556" w:type="dxa"/>
            <w:vAlign w:val="center"/>
          </w:tcPr>
          <w:p>
            <w:pPr>
              <w:snapToGrid w:val="0"/>
              <w:spacing w:line="240" w:lineRule="exact"/>
              <w:jc w:val="center"/>
              <w:rPr>
                <w:rFonts w:ascii="Times New Roman" w:hAnsi="Times New Roman" w:eastAsia="楷体_GB2312"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联系人</w:t>
            </w:r>
          </w:p>
        </w:tc>
        <w:tc>
          <w:tcPr>
            <w:tcW w:w="1971" w:type="dxa"/>
            <w:vAlign w:val="center"/>
          </w:tcPr>
          <w:p>
            <w:pPr>
              <w:snapToGrid w:val="0"/>
              <w:spacing w:line="240" w:lineRule="exact"/>
              <w:jc w:val="center"/>
              <w:rPr>
                <w:rFonts w:ascii="Times New Roman" w:hAnsi="Times New Roman" w:eastAsia="楷体_GB2312" w:cs="Times New Roman"/>
                <w:color w:val="auto"/>
                <w:sz w:val="21"/>
                <w:szCs w:val="21"/>
              </w:rPr>
            </w:pPr>
          </w:p>
        </w:tc>
        <w:tc>
          <w:tcPr>
            <w:tcW w:w="1325"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联系电话</w:t>
            </w:r>
          </w:p>
        </w:tc>
        <w:tc>
          <w:tcPr>
            <w:tcW w:w="2556" w:type="dxa"/>
            <w:vAlign w:val="center"/>
          </w:tcPr>
          <w:p>
            <w:pPr>
              <w:snapToGrid w:val="0"/>
              <w:spacing w:line="240" w:lineRule="exact"/>
              <w:jc w:val="center"/>
              <w:rPr>
                <w:rFonts w:ascii="Times New Roman" w:hAnsi="Times New Roman" w:eastAsia="楷体_GB2312"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在岗职工人数</w:t>
            </w:r>
          </w:p>
        </w:tc>
        <w:tc>
          <w:tcPr>
            <w:tcW w:w="5852" w:type="dxa"/>
            <w:gridSpan w:val="3"/>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总人数：</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其中劳务派遣人员：</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71"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登记注册类型</w:t>
            </w:r>
          </w:p>
        </w:tc>
        <w:tc>
          <w:tcPr>
            <w:tcW w:w="5852" w:type="dxa"/>
            <w:gridSpan w:val="3"/>
            <w:vAlign w:val="center"/>
          </w:tcPr>
          <w:p>
            <w:pPr>
              <w:rPr>
                <w:rFonts w:ascii="Times New Roman" w:hAnsi="Times New Roman" w:eastAsia="楷体_GB2312" w:cs="Times New Roman"/>
                <w:color w:val="auto"/>
                <w:sz w:val="21"/>
                <w:szCs w:val="21"/>
              </w:rPr>
            </w:pP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国有企业，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集体企业，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股份合作企业，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联营企业，</w:t>
            </w:r>
          </w:p>
          <w:p>
            <w:pPr>
              <w:rPr>
                <w:rFonts w:ascii="Times New Roman" w:hAnsi="Times New Roman" w:eastAsia="楷体_GB2312" w:cs="Times New Roman"/>
                <w:color w:val="auto"/>
                <w:sz w:val="21"/>
                <w:szCs w:val="21"/>
              </w:rPr>
            </w:pP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有限责任公司，</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股份有限公司，</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私营企业，</w:t>
            </w:r>
          </w:p>
          <w:p>
            <w:pPr>
              <w:rPr>
                <w:rFonts w:ascii="Times New Roman" w:hAnsi="Times New Roman" w:eastAsia="楷体_GB2312" w:cs="Times New Roman"/>
                <w:color w:val="auto"/>
                <w:sz w:val="21"/>
                <w:szCs w:val="21"/>
              </w:rPr>
            </w:pP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港、澳、台商投资企业，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外商投资企业，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 xml:space="preserve">其他企业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126" w:type="dxa"/>
            <w:vMerge w:val="continue"/>
            <w:vAlign w:val="top"/>
          </w:tcPr>
          <w:p>
            <w:pPr>
              <w:spacing w:line="240" w:lineRule="exact"/>
              <w:jc w:val="center"/>
              <w:rPr>
                <w:rFonts w:ascii="Times New Roman" w:hAnsi="Times New Roman" w:eastAsia="楷体_GB2312" w:cs="Times New Roman"/>
                <w:color w:val="auto"/>
                <w:sz w:val="21"/>
                <w:szCs w:val="21"/>
              </w:rPr>
            </w:pPr>
          </w:p>
        </w:tc>
        <w:tc>
          <w:tcPr>
            <w:tcW w:w="1774"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用人单位规模</w:t>
            </w:r>
          </w:p>
        </w:tc>
        <w:tc>
          <w:tcPr>
            <w:tcW w:w="5852" w:type="dxa"/>
            <w:gridSpan w:val="3"/>
            <w:vAlign w:val="center"/>
          </w:tcPr>
          <w:p>
            <w:pPr>
              <w:snapToGrid w:val="0"/>
              <w:spacing w:line="240" w:lineRule="exact"/>
              <w:rPr>
                <w:rFonts w:ascii="Times New Roman" w:hAnsi="Times New Roman" w:eastAsia="楷体_GB2312" w:cs="Times New Roman"/>
                <w:color w:val="auto"/>
                <w:sz w:val="21"/>
                <w:szCs w:val="21"/>
              </w:rPr>
            </w:pP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大型企业，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中型企业，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小型企业，</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微型企业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26" w:type="dxa"/>
            <w:vMerge w:val="restart"/>
            <w:vAlign w:val="center"/>
          </w:tcPr>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放</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射</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性</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危</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害</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因</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素</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种</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类</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及</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接</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触</w:t>
            </w:r>
          </w:p>
          <w:p>
            <w:pPr>
              <w:snapToGrid w:val="0"/>
              <w:spacing w:line="240" w:lineRule="exact"/>
              <w:jc w:val="center"/>
              <w:rPr>
                <w:rFonts w:ascii="Times New Roman" w:hAnsi="Times New Roman" w:eastAsia="楷体_GB2312" w:cs="Times New Roman"/>
                <w:b w:val="0"/>
                <w:bCs w:val="0"/>
                <w:color w:val="auto"/>
                <w:sz w:val="24"/>
                <w:szCs w:val="24"/>
              </w:rPr>
            </w:pPr>
            <w:r>
              <w:rPr>
                <w:rFonts w:ascii="Times New Roman" w:hAnsi="Times New Roman" w:eastAsia="楷体_GB2312" w:cs="Times New Roman"/>
                <w:b w:val="0"/>
                <w:bCs w:val="0"/>
                <w:color w:val="auto"/>
                <w:sz w:val="24"/>
                <w:szCs w:val="24"/>
              </w:rPr>
              <w:t>情</w:t>
            </w:r>
          </w:p>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b w:val="0"/>
                <w:bCs w:val="0"/>
                <w:color w:val="auto"/>
                <w:sz w:val="24"/>
                <w:szCs w:val="24"/>
              </w:rPr>
              <w:t>况</w:t>
            </w: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接触放射性危害因素人员（放射工作人员）：</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82" w:hRule="atLeast"/>
          <w:jc w:val="center"/>
        </w:trPr>
        <w:tc>
          <w:tcPr>
            <w:tcW w:w="1126" w:type="dxa"/>
            <w:vMerge w:val="continue"/>
            <w:vAlign w:val="top"/>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pStyle w:val="2"/>
              <w:ind w:firstLine="0" w:firstLineChars="0"/>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调查对象类别：</w:t>
            </w:r>
          </w:p>
          <w:p>
            <w:pPr>
              <w:pStyle w:val="2"/>
              <w:ind w:firstLine="0" w:firstLineChars="0"/>
              <w:rPr>
                <w:rFonts w:ascii="Times New Roman" w:hAnsi="Times New Roman" w:eastAsia="楷体_GB2312" w:cs="Times New Roman"/>
                <w:color w:val="auto"/>
                <w:sz w:val="21"/>
                <w:szCs w:val="21"/>
              </w:rPr>
            </w:pPr>
            <w:r>
              <w:rPr>
                <w:rFonts w:hint="eastAsia" w:ascii="Times New Roman" w:hAnsi="Times New Roman" w:eastAsia="楷体_GB2312" w:cs="Times New Roman"/>
                <w:color w:val="auto"/>
                <w:sz w:val="21"/>
                <w:szCs w:val="21"/>
                <w:lang w:val="en-US" w:eastAsia="zh-CN"/>
              </w:rPr>
              <w:t>1.</w:t>
            </w:r>
            <w:r>
              <w:rPr>
                <w:rFonts w:ascii="Times New Roman" w:hAnsi="Times New Roman" w:eastAsia="楷体_GB2312" w:cs="Times New Roman"/>
                <w:color w:val="auto"/>
                <w:sz w:val="21"/>
                <w:szCs w:val="21"/>
              </w:rPr>
              <w:t>工业应用：</w:t>
            </w:r>
            <w:r>
              <w:rPr>
                <w:rFonts w:hint="eastAsia" w:ascii="Times New Roman" w:hAnsi="Times New Roman" w:eastAsia="楷体_GB2312" w:cs="Times New Roman"/>
                <w:color w:val="auto"/>
                <w:sz w:val="21"/>
                <w:szCs w:val="21"/>
                <w:lang w:val="en-US" w:eastAsia="zh-CN"/>
              </w:rPr>
              <w:t xml:space="preserve">  </w:t>
            </w:r>
            <w:r>
              <w:rPr>
                <w:rFonts w:hint="eastAsia" w:eastAsia="楷体_GB2312" w:cs="Times New Roman"/>
                <w:color w:val="auto"/>
                <w:sz w:val="21"/>
                <w:szCs w:val="21"/>
                <w:lang w:eastAsia="zh-CN"/>
              </w:rPr>
              <w:sym w:font="Wingdings 2" w:char="00A3"/>
            </w:r>
            <w:r>
              <w:rPr>
                <w:rFonts w:ascii="Times New Roman" w:hAnsi="Times New Roman" w:eastAsia="楷体_GB2312" w:cs="Times New Roman"/>
                <w:color w:val="auto"/>
                <w:sz w:val="21"/>
                <w:szCs w:val="21"/>
              </w:rPr>
              <w:t xml:space="preserve">γ辐照装置， </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非医用加速器，</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工业探伤，</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行包检测仪</w:t>
            </w:r>
          </w:p>
          <w:p>
            <w:pPr>
              <w:pStyle w:val="2"/>
              <w:spacing w:line="320" w:lineRule="exact"/>
              <w:ind w:left="0" w:leftChars="0" w:firstLine="1470" w:firstLineChars="700"/>
              <w:rPr>
                <w:rFonts w:ascii="Times New Roman" w:hAnsi="Times New Roman" w:eastAsia="楷体_GB2312" w:cs="Times New Roman"/>
                <w:color w:val="auto"/>
                <w:sz w:val="21"/>
                <w:szCs w:val="21"/>
              </w:rPr>
            </w:pPr>
            <w:r>
              <w:rPr>
                <w:rFonts w:hint="eastAsia" w:eastAsia="楷体_GB2312" w:cs="Times New Roman"/>
                <w:color w:val="auto"/>
                <w:sz w:val="21"/>
                <w:szCs w:val="21"/>
                <w:lang w:eastAsia="zh-CN"/>
              </w:rPr>
              <w:sym w:font="Wingdings 2" w:char="00A3"/>
            </w:r>
            <w:r>
              <w:rPr>
                <w:rFonts w:ascii="Times New Roman" w:hAnsi="Times New Roman" w:eastAsia="楷体_GB2312" w:cs="Times New Roman"/>
                <w:color w:val="auto"/>
                <w:sz w:val="21"/>
                <w:szCs w:val="21"/>
              </w:rPr>
              <w:t>核仪表，</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非密封放射性物质工作场所，</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其他</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p>
            <w:pPr>
              <w:pStyle w:val="2"/>
              <w:ind w:firstLine="0" w:firstLineChars="0"/>
              <w:rPr>
                <w:rFonts w:ascii="Times New Roman" w:hAnsi="Times New Roman" w:eastAsia="楷体_GB2312" w:cs="Times New Roman"/>
                <w:color w:val="auto"/>
                <w:sz w:val="21"/>
                <w:szCs w:val="21"/>
              </w:rPr>
            </w:pPr>
            <w:r>
              <w:rPr>
                <w:rFonts w:hint="eastAsia" w:eastAsia="楷体_GB2312" w:cs="Times New Roman"/>
                <w:color w:val="auto"/>
                <w:sz w:val="21"/>
                <w:szCs w:val="21"/>
                <w:lang w:val="en-US" w:eastAsia="zh-CN"/>
              </w:rPr>
              <w:t>2.宠物医院</w:t>
            </w:r>
            <w:r>
              <w:rPr>
                <w:rFonts w:hint="eastAsia" w:ascii="Times New Roman" w:hAnsi="Times New Roman" w:eastAsia="楷体_GB2312" w:cs="Times New Roman"/>
                <w:color w:val="auto"/>
                <w:sz w:val="21"/>
                <w:szCs w:val="21"/>
                <w:u w:val="none"/>
                <w:lang w:eastAsia="zh-CN"/>
              </w:rPr>
              <w:t>：</w:t>
            </w:r>
            <w:r>
              <w:rPr>
                <w:rFonts w:hint="default" w:ascii="Times New Roman" w:hAnsi="Times New Roman" w:eastAsia="楷体_GB2312" w:cs="Times New Roman"/>
                <w:color w:val="auto"/>
                <w:sz w:val="21"/>
                <w:szCs w:val="21"/>
                <w:u w:val="none"/>
                <w:lang w:val="en-US" w:eastAsia="zh-CN"/>
              </w:rPr>
              <w:t xml:space="preserve"> </w:t>
            </w:r>
            <w:r>
              <w:rPr>
                <w:rFonts w:ascii="Times New Roman" w:hAnsi="Times New Roman" w:eastAsia="楷体_GB2312" w:cs="Times New Roman"/>
                <w:color w:val="auto"/>
                <w:sz w:val="21"/>
                <w:szCs w:val="21"/>
                <w:u w:val="none"/>
              </w:rPr>
              <w:t xml:space="preserve"> </w:t>
            </w:r>
            <w:r>
              <w:rPr>
                <w:rFonts w:hint="default" w:ascii="Times New Roman" w:hAnsi="Times New Roman" w:eastAsia="楷体_GB2312" w:cs="Times New Roman"/>
                <w:color w:val="auto"/>
                <w:sz w:val="21"/>
                <w:szCs w:val="21"/>
                <w:lang w:eastAsia="zh-CN"/>
              </w:rPr>
              <w:sym w:font="Wingdings 2" w:char="00A3"/>
            </w:r>
            <w:r>
              <w:rPr>
                <w:rFonts w:hint="default" w:ascii="Times New Roman" w:hAnsi="Times New Roman" w:eastAsia="楷体_GB2312" w:cs="Times New Roman"/>
                <w:bCs w:val="0"/>
                <w:color w:val="auto"/>
                <w:sz w:val="21"/>
                <w:szCs w:val="21"/>
              </w:rPr>
              <w:t>兽医学</w:t>
            </w:r>
            <w:r>
              <w:rPr>
                <w:rFonts w:ascii="Times New Roman" w:hAnsi="Times New Roman" w:eastAsia="楷体_GB2312" w:cs="Times New Roman"/>
                <w:color w:val="auto"/>
                <w:sz w:val="21"/>
                <w:szCs w:val="21"/>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72" w:hRule="atLeast"/>
          <w:jc w:val="center"/>
        </w:trPr>
        <w:tc>
          <w:tcPr>
            <w:tcW w:w="1126" w:type="dxa"/>
            <w:vMerge w:val="continue"/>
            <w:vAlign w:val="top"/>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spacing w:line="32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 xml:space="preserve">辐射源项情况： </w:t>
            </w:r>
          </w:p>
          <w:p>
            <w:pPr>
              <w:numPr>
                <w:ilvl w:val="0"/>
                <w:numId w:val="0"/>
              </w:numPr>
              <w:spacing w:line="320" w:lineRule="exact"/>
              <w:ind w:firstLine="0" w:firstLineChars="0"/>
              <w:jc w:val="left"/>
              <w:rPr>
                <w:rFonts w:ascii="Times New Roman" w:hAnsi="Times New Roman" w:eastAsia="楷体_GB2312" w:cs="Times New Roman"/>
                <w:color w:val="auto"/>
                <w:sz w:val="21"/>
                <w:szCs w:val="21"/>
              </w:rPr>
            </w:pPr>
            <w:r>
              <w:rPr>
                <w:rFonts w:hint="eastAsia" w:ascii="Times New Roman" w:hAnsi="Times New Roman" w:eastAsia="楷体_GB2312" w:cs="Times New Roman"/>
                <w:color w:val="auto"/>
                <w:sz w:val="21"/>
                <w:szCs w:val="21"/>
                <w:lang w:val="en-US" w:eastAsia="zh-CN"/>
              </w:rPr>
              <w:t>1.</w:t>
            </w:r>
            <w:r>
              <w:rPr>
                <w:rFonts w:ascii="Times New Roman" w:hAnsi="Times New Roman" w:eastAsia="楷体_GB2312" w:cs="Times New Roman"/>
                <w:color w:val="auto"/>
                <w:sz w:val="21"/>
                <w:szCs w:val="21"/>
              </w:rPr>
              <w:t>射线装置</w:t>
            </w:r>
            <w:r>
              <w:rPr>
                <w:rFonts w:hint="eastAsia" w:eastAsia="楷体_GB2312" w:cs="Times New Roman"/>
                <w:color w:val="auto"/>
                <w:sz w:val="21"/>
                <w:szCs w:val="21"/>
                <w:lang w:eastAsia="zh-CN"/>
              </w:rPr>
              <w:t>类</w:t>
            </w:r>
            <w:r>
              <w:rPr>
                <w:rFonts w:ascii="Times New Roman" w:hAnsi="Times New Roman" w:eastAsia="楷体_GB2312" w:cs="Times New Roman"/>
                <w:color w:val="auto"/>
                <w:sz w:val="21"/>
                <w:szCs w:val="21"/>
              </w:rPr>
              <w:t>：非医用加速器</w:t>
            </w:r>
            <w:r>
              <w:rPr>
                <w:rFonts w:ascii="Times New Roman" w:hAnsi="Times New Roman" w:eastAsia="楷体_GB2312" w:cs="Times New Roman"/>
                <w:color w:val="auto"/>
                <w:sz w:val="21"/>
                <w:szCs w:val="21"/>
                <w:u w:val="single"/>
              </w:rPr>
              <w:t xml:space="preserve">   </w:t>
            </w:r>
            <w:r>
              <w:rPr>
                <w:rFonts w:hint="eastAsia" w:ascii="Times New Roman" w:hAnsi="Times New Roman"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w:t>
            </w:r>
            <w:r>
              <w:rPr>
                <w:rFonts w:hint="eastAsia" w:eastAsia="楷体_GB2312" w:cs="Times New Roman"/>
                <w:color w:val="auto"/>
                <w:sz w:val="21"/>
                <w:szCs w:val="21"/>
                <w:lang w:val="en-US" w:eastAsia="zh-CN"/>
              </w:rPr>
              <w:t>X</w:t>
            </w:r>
            <w:r>
              <w:rPr>
                <w:rFonts w:ascii="Times New Roman" w:hAnsi="Times New Roman" w:eastAsia="楷体_GB2312" w:cs="Times New Roman"/>
                <w:color w:val="auto"/>
                <w:sz w:val="21"/>
                <w:szCs w:val="21"/>
              </w:rPr>
              <w:t>射线探伤装置</w:t>
            </w:r>
            <w:r>
              <w:rPr>
                <w:rFonts w:ascii="Times New Roman" w:hAnsi="Times New Roman" w:eastAsia="楷体_GB2312" w:cs="Times New Roman"/>
                <w:color w:val="auto"/>
                <w:sz w:val="21"/>
                <w:szCs w:val="21"/>
                <w:u w:val="single"/>
              </w:rPr>
              <w:t xml:space="preserve"> </w:t>
            </w:r>
            <w:r>
              <w:rPr>
                <w:rFonts w:hint="eastAsia" w:ascii="Times New Roman" w:hAnsi="Times New Roman"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w:t>
            </w:r>
          </w:p>
          <w:p>
            <w:pPr>
              <w:numPr>
                <w:ilvl w:val="0"/>
                <w:numId w:val="0"/>
              </w:numPr>
              <w:spacing w:line="320" w:lineRule="exact"/>
              <w:ind w:firstLine="1470" w:firstLineChars="700"/>
              <w:jc w:val="lef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行包检测仪</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台，核仪表</w:t>
            </w:r>
            <w:r>
              <w:rPr>
                <w:rFonts w:hint="eastAsia" w:eastAsia="楷体_GB2312" w:cs="Times New Roman"/>
                <w:color w:val="auto"/>
                <w:sz w:val="21"/>
                <w:szCs w:val="21"/>
                <w:lang w:eastAsia="zh-CN"/>
              </w:rPr>
              <w:t>（含射线）</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台，其他</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w:t>
            </w:r>
          </w:p>
          <w:p>
            <w:pPr>
              <w:numPr>
                <w:ilvl w:val="0"/>
                <w:numId w:val="0"/>
              </w:numPr>
              <w:spacing w:line="320" w:lineRule="exact"/>
              <w:ind w:firstLine="1470" w:firstLineChars="700"/>
              <w:jc w:val="left"/>
              <w:rPr>
                <w:rFonts w:ascii="Times New Roman" w:hAnsi="Times New Roman" w:eastAsia="楷体_GB2312"/>
                <w:color w:val="auto"/>
                <w:sz w:val="21"/>
                <w:szCs w:val="21"/>
                <w:u w:val="none"/>
              </w:rPr>
            </w:pPr>
            <w:r>
              <w:rPr>
                <w:rFonts w:hint="default" w:ascii="Times New Roman" w:hAnsi="Times New Roman" w:eastAsia="楷体_GB2312" w:cs="Times New Roman"/>
                <w:color w:val="auto"/>
                <w:sz w:val="21"/>
                <w:szCs w:val="21"/>
                <w:u w:val="none"/>
                <w:lang w:eastAsia="zh-CN"/>
              </w:rPr>
              <w:t>I类_____台；II类_____台；III类_____台</w:t>
            </w:r>
          </w:p>
          <w:p>
            <w:pPr>
              <w:numPr>
                <w:ilvl w:val="0"/>
                <w:numId w:val="0"/>
              </w:numPr>
              <w:spacing w:line="320" w:lineRule="exact"/>
              <w:ind w:left="0" w:firstLine="0" w:firstLineChars="0"/>
              <w:rPr>
                <w:rFonts w:ascii="Times New Roman" w:hAnsi="Times New Roman" w:eastAsia="楷体_GB2312" w:cs="Times New Roman"/>
                <w:color w:val="auto"/>
                <w:sz w:val="21"/>
                <w:szCs w:val="21"/>
              </w:rPr>
            </w:pPr>
            <w:r>
              <w:rPr>
                <w:rFonts w:hint="eastAsia" w:eastAsia="楷体_GB2312" w:cs="Times New Roman"/>
                <w:color w:val="auto"/>
                <w:sz w:val="21"/>
                <w:szCs w:val="21"/>
                <w:lang w:val="en-US" w:eastAsia="zh-CN"/>
              </w:rPr>
              <w:t>2.</w:t>
            </w:r>
            <w:r>
              <w:rPr>
                <w:rFonts w:ascii="Times New Roman" w:hAnsi="Times New Roman" w:eastAsia="楷体_GB2312" w:cs="Times New Roman"/>
                <w:color w:val="auto"/>
                <w:sz w:val="21"/>
                <w:szCs w:val="21"/>
              </w:rPr>
              <w:t>含源装置</w:t>
            </w:r>
            <w:r>
              <w:rPr>
                <w:rFonts w:hint="eastAsia" w:eastAsia="楷体_GB2312" w:cs="Times New Roman"/>
                <w:color w:val="auto"/>
                <w:sz w:val="21"/>
                <w:szCs w:val="21"/>
                <w:lang w:eastAsia="zh-CN"/>
              </w:rPr>
              <w:t>类</w:t>
            </w:r>
            <w:r>
              <w:rPr>
                <w:rFonts w:ascii="Times New Roman" w:hAnsi="Times New Roman" w:eastAsia="楷体_GB2312" w:cs="Times New Roman"/>
                <w:color w:val="auto"/>
                <w:sz w:val="21"/>
                <w:szCs w:val="21"/>
              </w:rPr>
              <w:t>：放射源数量</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u w:val="none"/>
              </w:rPr>
              <w:t>枚</w:t>
            </w:r>
            <w:r>
              <w:rPr>
                <w:rFonts w:ascii="Times New Roman" w:hAnsi="Times New Roman" w:eastAsia="楷体_GB2312" w:cs="Times New Roman"/>
                <w:color w:val="auto"/>
                <w:sz w:val="21"/>
                <w:szCs w:val="21"/>
              </w:rPr>
              <w:t>；γ辐照装置</w:t>
            </w:r>
            <w:r>
              <w:rPr>
                <w:rFonts w:ascii="Times New Roman" w:hAnsi="Times New Roman" w:eastAsia="楷体_GB2312" w:cs="Times New Roman"/>
                <w:color w:val="auto"/>
                <w:sz w:val="21"/>
                <w:szCs w:val="21"/>
                <w:u w:val="single"/>
              </w:rPr>
              <w:t xml:space="preserve">   </w:t>
            </w:r>
            <w:r>
              <w:rPr>
                <w:rFonts w:hint="eastAsia" w:ascii="Times New Roman" w:hAnsi="Times New Roman"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座，γ探伤装置</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w:t>
            </w:r>
          </w:p>
          <w:p>
            <w:pPr>
              <w:numPr>
                <w:ilvl w:val="0"/>
                <w:numId w:val="0"/>
              </w:numPr>
              <w:spacing w:line="320" w:lineRule="exact"/>
              <w:ind w:left="0" w:firstLine="1470" w:firstLineChars="700"/>
              <w:jc w:val="lef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核仪表</w:t>
            </w:r>
            <w:r>
              <w:rPr>
                <w:rFonts w:hint="eastAsia" w:eastAsia="楷体_GB2312" w:cs="Times New Roman"/>
                <w:color w:val="auto"/>
                <w:sz w:val="21"/>
                <w:szCs w:val="21"/>
                <w:lang w:eastAsia="zh-CN"/>
              </w:rPr>
              <w:t>（含源）</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台，其他</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w:t>
            </w:r>
          </w:p>
          <w:p>
            <w:pPr>
              <w:numPr>
                <w:ilvl w:val="0"/>
                <w:numId w:val="0"/>
              </w:numPr>
              <w:spacing w:line="320" w:lineRule="exact"/>
              <w:ind w:firstLine="1470" w:firstLineChars="700"/>
              <w:jc w:val="left"/>
              <w:rPr>
                <w:rFonts w:eastAsia="楷体_GB2312"/>
                <w:color w:val="auto"/>
                <w:szCs w:val="21"/>
                <w:u w:val="none"/>
              </w:rPr>
            </w:pPr>
            <w:r>
              <w:rPr>
                <w:rFonts w:hint="default" w:ascii="Times New Roman" w:hAnsi="Times New Roman" w:eastAsia="楷体_GB2312" w:cs="Times New Roman"/>
                <w:color w:val="auto"/>
                <w:sz w:val="21"/>
                <w:szCs w:val="21"/>
                <w:u w:val="none"/>
                <w:lang w:eastAsia="zh-CN"/>
              </w:rPr>
              <w:t>I类</w:t>
            </w:r>
            <w:r>
              <w:rPr>
                <w:rFonts w:ascii="Times New Roman" w:hAnsi="Times New Roman" w:eastAsia="楷体_GB2312" w:cs="Times New Roman"/>
                <w:color w:val="auto"/>
                <w:sz w:val="21"/>
                <w:szCs w:val="21"/>
                <w:u w:val="single"/>
              </w:rPr>
              <w:t xml:space="preserve">    </w:t>
            </w:r>
            <w:r>
              <w:rPr>
                <w:rFonts w:hint="default" w:ascii="Times New Roman" w:hAnsi="Times New Roman" w:eastAsia="楷体_GB2312" w:cs="Times New Roman"/>
                <w:color w:val="auto"/>
                <w:sz w:val="21"/>
                <w:szCs w:val="21"/>
                <w:u w:val="none"/>
                <w:lang w:eastAsia="zh-CN"/>
              </w:rPr>
              <w:t>枚；II类</w:t>
            </w:r>
            <w:r>
              <w:rPr>
                <w:rFonts w:ascii="Times New Roman" w:hAnsi="Times New Roman" w:eastAsia="楷体_GB2312" w:cs="Times New Roman"/>
                <w:color w:val="auto"/>
                <w:sz w:val="21"/>
                <w:szCs w:val="21"/>
                <w:u w:val="single"/>
              </w:rPr>
              <w:t xml:space="preserve">    </w:t>
            </w:r>
            <w:r>
              <w:rPr>
                <w:rFonts w:hint="default" w:ascii="Times New Roman" w:hAnsi="Times New Roman" w:eastAsia="楷体_GB2312" w:cs="Times New Roman"/>
                <w:color w:val="auto"/>
                <w:sz w:val="21"/>
                <w:szCs w:val="21"/>
                <w:u w:val="none"/>
                <w:lang w:eastAsia="zh-CN"/>
              </w:rPr>
              <w:t>枚；III类</w:t>
            </w:r>
            <w:r>
              <w:rPr>
                <w:rFonts w:ascii="Times New Roman" w:hAnsi="Times New Roman" w:eastAsia="楷体_GB2312" w:cs="Times New Roman"/>
                <w:color w:val="auto"/>
                <w:sz w:val="21"/>
                <w:szCs w:val="21"/>
                <w:u w:val="single"/>
              </w:rPr>
              <w:t xml:space="preserve">    </w:t>
            </w:r>
            <w:r>
              <w:rPr>
                <w:rFonts w:hint="default" w:ascii="Times New Roman" w:hAnsi="Times New Roman" w:eastAsia="楷体_GB2312" w:cs="Times New Roman"/>
                <w:color w:val="auto"/>
                <w:sz w:val="21"/>
                <w:szCs w:val="21"/>
                <w:u w:val="none"/>
                <w:lang w:eastAsia="zh-CN"/>
              </w:rPr>
              <w:t>枚；IV类</w:t>
            </w:r>
            <w:r>
              <w:rPr>
                <w:rFonts w:ascii="Times New Roman" w:hAnsi="Times New Roman" w:eastAsia="楷体_GB2312" w:cs="Times New Roman"/>
                <w:color w:val="auto"/>
                <w:sz w:val="21"/>
                <w:szCs w:val="21"/>
                <w:u w:val="single"/>
              </w:rPr>
              <w:t xml:space="preserve">    </w:t>
            </w:r>
            <w:r>
              <w:rPr>
                <w:rFonts w:hint="default" w:ascii="Times New Roman" w:hAnsi="Times New Roman" w:eastAsia="楷体_GB2312" w:cs="Times New Roman"/>
                <w:color w:val="auto"/>
                <w:sz w:val="21"/>
                <w:szCs w:val="21"/>
                <w:u w:val="none"/>
                <w:lang w:eastAsia="zh-CN"/>
              </w:rPr>
              <w:t>枚；V类</w:t>
            </w:r>
            <w:r>
              <w:rPr>
                <w:rFonts w:ascii="Times New Roman" w:hAnsi="Times New Roman" w:eastAsia="楷体_GB2312" w:cs="Times New Roman"/>
                <w:color w:val="auto"/>
                <w:sz w:val="21"/>
                <w:szCs w:val="21"/>
                <w:u w:val="single"/>
              </w:rPr>
              <w:t xml:space="preserve">    </w:t>
            </w:r>
            <w:r>
              <w:rPr>
                <w:rFonts w:hint="default" w:ascii="Times New Roman" w:hAnsi="Times New Roman" w:eastAsia="楷体_GB2312" w:cs="Times New Roman"/>
                <w:color w:val="auto"/>
                <w:sz w:val="21"/>
                <w:szCs w:val="21"/>
                <w:u w:val="none"/>
                <w:lang w:eastAsia="zh-CN"/>
              </w:rPr>
              <w:t>枚</w:t>
            </w:r>
          </w:p>
          <w:p>
            <w:pPr>
              <w:spacing w:line="320" w:lineRule="exact"/>
              <w:rPr>
                <w:rFonts w:ascii="Times New Roman" w:hAnsi="Times New Roman" w:eastAsia="楷体_GB2312" w:cs="Times New Roman"/>
                <w:color w:val="auto"/>
                <w:sz w:val="21"/>
                <w:szCs w:val="21"/>
              </w:rPr>
            </w:pPr>
            <w:r>
              <w:rPr>
                <w:rFonts w:hint="eastAsia" w:ascii="Times New Roman" w:hAnsi="Times New Roman" w:eastAsia="楷体_GB2312" w:cs="Times New Roman"/>
                <w:color w:val="auto"/>
                <w:sz w:val="21"/>
                <w:szCs w:val="21"/>
                <w:lang w:eastAsia="zh-CN"/>
              </w:rPr>
              <w:t>3</w:t>
            </w:r>
            <w:r>
              <w:rPr>
                <w:rFonts w:ascii="Times New Roman" w:hAnsi="Times New Roman" w:eastAsia="楷体_GB2312" w:cs="Times New Roman"/>
                <w:color w:val="auto"/>
                <w:sz w:val="21"/>
                <w:szCs w:val="21"/>
              </w:rPr>
              <w:t>.非密封放射性物质工作场所：甲级</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个，乙级</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个，丙级</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126" w:type="dxa"/>
            <w:vMerge w:val="restart"/>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b w:val="0"/>
                <w:bCs w:val="0"/>
                <w:color w:val="auto"/>
                <w:sz w:val="21"/>
                <w:szCs w:val="21"/>
              </w:rPr>
              <w:t>近两年度放射防护培训情况</w:t>
            </w: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 xml:space="preserve">用人单位负责人是否参加了培训： </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职业健康管理人员是否参加了培训：</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放射工作人员参加放射防护培训（近两年度）</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 xml:space="preserve">人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jc w:val="center"/>
        </w:trPr>
        <w:tc>
          <w:tcPr>
            <w:tcW w:w="1126" w:type="dxa"/>
            <w:vMerge w:val="restart"/>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b w:val="0"/>
                <w:bCs w:val="0"/>
                <w:color w:val="auto"/>
                <w:sz w:val="21"/>
                <w:szCs w:val="21"/>
              </w:rPr>
              <w:t>上一年度放射性危害因素检测情况</w:t>
            </w:r>
          </w:p>
        </w:tc>
        <w:tc>
          <w:tcPr>
            <w:tcW w:w="7626" w:type="dxa"/>
            <w:gridSpan w:val="4"/>
            <w:vAlign w:val="center"/>
          </w:tcPr>
          <w:p>
            <w:pPr>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开展放射性危害因素委托检测情况（上一年度）：</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 xml:space="preserve">是 ； </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 xml:space="preserve">否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对应的检测评价机构名称 ：</w:t>
            </w:r>
            <w:r>
              <w:rPr>
                <w:rFonts w:ascii="Times New Roman" w:hAnsi="Times New Roman" w:eastAsia="楷体_GB2312" w:cs="Times New Roman"/>
                <w:color w:val="auto"/>
                <w:kern w:val="2"/>
                <w:sz w:val="21"/>
                <w:szCs w:val="21"/>
                <w:u w:val="none"/>
              </w:rPr>
              <w:t xml:space="preserve"> </w:t>
            </w:r>
            <w:r>
              <w:rPr>
                <w:rFonts w:ascii="Times New Roman" w:hAnsi="Times New Roman" w:eastAsia="楷体_GB2312" w:cs="Times New Roman"/>
                <w:color w:val="auto"/>
                <w:sz w:val="21"/>
                <w:szCs w:val="21"/>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自主检测开展情况：</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 xml:space="preserve">检测结果是否存在超标情况： </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jc w:val="center"/>
        </w:trPr>
        <w:tc>
          <w:tcPr>
            <w:tcW w:w="1126"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近三年度现状评价开展及职业病危害因素申报情况</w:t>
            </w:r>
          </w:p>
        </w:tc>
        <w:tc>
          <w:tcPr>
            <w:tcW w:w="7626" w:type="dxa"/>
            <w:gridSpan w:val="4"/>
            <w:vAlign w:val="center"/>
          </w:tcPr>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现状评价开展情况：</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否</w:t>
            </w:r>
          </w:p>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职业病危害因素申报情况：</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eastAsia="楷体_GB2312" w:cs="Times New Roman"/>
                <w:color w:val="auto"/>
                <w:sz w:val="21"/>
                <w:szCs w:val="21"/>
                <w:lang w:eastAsia="zh-CN"/>
              </w:rPr>
              <w:t>□</w:t>
            </w:r>
            <w:r>
              <w:rPr>
                <w:rFonts w:ascii="Times New Roman" w:hAnsi="Times New Roman" w:eastAsia="楷体_GB2312" w:cs="Times New Roman"/>
                <w:color w:val="auto"/>
                <w:sz w:val="21"/>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126" w:type="dxa"/>
            <w:vMerge w:val="restart"/>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近两年度职业健康检查情况</w:t>
            </w: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用人单位开展放射性职业健康检查人数（近两年度）</w:t>
            </w:r>
            <w:r>
              <w:rPr>
                <w:rFonts w:ascii="Times New Roman" w:hAnsi="Times New Roman" w:eastAsia="楷体_GB2312" w:cs="Times New Roman"/>
                <w:color w:val="auto"/>
                <w:kern w:val="0"/>
                <w:sz w:val="21"/>
                <w:szCs w:val="21"/>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 xml:space="preserve">人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1126" w:type="dxa"/>
            <w:vMerge w:val="continue"/>
            <w:vAlign w:val="top"/>
          </w:tcPr>
          <w:p>
            <w:pPr>
              <w:snapToGrid w:val="0"/>
              <w:spacing w:line="240" w:lineRule="exact"/>
              <w:rPr>
                <w:rFonts w:ascii="Times New Roman" w:hAnsi="Times New Roman" w:eastAsia="楷体_GB2312" w:cs="Times New Roman"/>
                <w:color w:val="auto"/>
                <w:sz w:val="21"/>
                <w:szCs w:val="21"/>
              </w:rPr>
            </w:pP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职业健康体检机构名称：</w:t>
            </w:r>
            <w:r>
              <w:rPr>
                <w:rFonts w:ascii="Times New Roman" w:hAnsi="Times New Roman" w:eastAsia="楷体_GB2312" w:cs="Times New Roman"/>
                <w:color w:val="auto"/>
                <w:kern w:val="0"/>
                <w:sz w:val="21"/>
                <w:szCs w:val="21"/>
                <w:u w:val="single"/>
              </w:rPr>
              <w:t xml:space="preserve"> </w:t>
            </w:r>
            <w:r>
              <w:rPr>
                <w:rFonts w:ascii="Times New Roman" w:hAnsi="Times New Roman" w:eastAsia="楷体_GB2312" w:cs="Times New Roman"/>
                <w:color w:val="auto"/>
                <w:sz w:val="21"/>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126" w:type="dxa"/>
            <w:vMerge w:val="continue"/>
            <w:vAlign w:val="top"/>
          </w:tcPr>
          <w:p>
            <w:pPr>
              <w:snapToGrid w:val="0"/>
              <w:spacing w:line="240" w:lineRule="exact"/>
              <w:rPr>
                <w:rFonts w:ascii="Times New Roman" w:hAnsi="Times New Roman" w:eastAsia="楷体_GB2312" w:cs="Times New Roman"/>
                <w:color w:val="auto"/>
                <w:sz w:val="21"/>
                <w:szCs w:val="21"/>
              </w:rPr>
            </w:pPr>
          </w:p>
        </w:tc>
        <w:tc>
          <w:tcPr>
            <w:tcW w:w="7626" w:type="dxa"/>
            <w:gridSpan w:val="4"/>
            <w:vAlign w:val="center"/>
          </w:tcPr>
          <w:p>
            <w:pPr>
              <w:snapToGrid w:val="0"/>
              <w:spacing w:line="24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检查类别：上岗前</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人，在岗期间</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人，离岗时</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p>
            <w:pPr>
              <w:snapToGrid w:val="0"/>
              <w:spacing w:line="240" w:lineRule="exact"/>
              <w:ind w:firstLine="1050" w:firstLineChars="500"/>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应急体检</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126" w:type="dxa"/>
            <w:vMerge w:val="continue"/>
            <w:vAlign w:val="top"/>
          </w:tcPr>
          <w:p>
            <w:pPr>
              <w:snapToGrid w:val="0"/>
              <w:spacing w:line="240" w:lineRule="exact"/>
              <w:rPr>
                <w:rFonts w:ascii="Times New Roman" w:hAnsi="Times New Roman" w:eastAsia="楷体_GB2312" w:cs="Times New Roman"/>
                <w:color w:val="auto"/>
                <w:sz w:val="21"/>
                <w:szCs w:val="21"/>
              </w:rPr>
            </w:pPr>
          </w:p>
        </w:tc>
        <w:tc>
          <w:tcPr>
            <w:tcW w:w="7626" w:type="dxa"/>
            <w:gridSpan w:val="4"/>
            <w:vAlign w:val="center"/>
          </w:tcPr>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体检结论：</w:t>
            </w:r>
          </w:p>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可继续原放射工作</w:t>
            </w:r>
            <w:r>
              <w:rPr>
                <w:rFonts w:ascii="Times New Roman" w:hAnsi="Times New Roman" w:eastAsia="楷体_GB2312" w:cs="Times New Roman"/>
                <w:color w:val="auto"/>
                <w:sz w:val="21"/>
                <w:szCs w:val="21"/>
                <w:u w:val="single"/>
              </w:rPr>
              <w:t xml:space="preserve">  </w:t>
            </w:r>
            <w:r>
              <w:rPr>
                <w:rFonts w:hint="eastAsia" w:ascii="Times New Roman" w:hAnsi="Times New Roman"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人，在一定限制条件下可从事放射工作</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暂时脱离放射工作</w:t>
            </w:r>
            <w:r>
              <w:rPr>
                <w:rFonts w:ascii="Times New Roman" w:hAnsi="Times New Roman" w:eastAsia="楷体_GB2312" w:cs="Times New Roman"/>
                <w:color w:val="auto"/>
                <w:sz w:val="21"/>
                <w:szCs w:val="21"/>
                <w:u w:val="single"/>
              </w:rPr>
              <w:t xml:space="preserve">   </w:t>
            </w:r>
            <w:r>
              <w:rPr>
                <w:rFonts w:hint="eastAsia" w:ascii="Times New Roman" w:hAnsi="Times New Roman"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人，不宜从事原放射工作</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1126" w:type="dxa"/>
            <w:vMerge w:val="continue"/>
            <w:vAlign w:val="top"/>
          </w:tcPr>
          <w:p>
            <w:pPr>
              <w:snapToGrid w:val="0"/>
              <w:spacing w:line="240" w:lineRule="exact"/>
              <w:rPr>
                <w:rFonts w:ascii="Times New Roman" w:hAnsi="Times New Roman" w:eastAsia="楷体_GB2312" w:cs="Times New Roman"/>
                <w:color w:val="auto"/>
                <w:sz w:val="21"/>
                <w:szCs w:val="21"/>
              </w:rPr>
            </w:pPr>
          </w:p>
        </w:tc>
        <w:tc>
          <w:tcPr>
            <w:tcW w:w="7626" w:type="dxa"/>
            <w:gridSpan w:val="4"/>
            <w:vAlign w:val="center"/>
          </w:tcPr>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职业健康体检项目中是否包含外周血淋巴细胞染色体畸变分析或外周血淋巴细胞微核检测：</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是，</w:t>
            </w:r>
            <w:r>
              <w:rPr>
                <w:rFonts w:hint="eastAsia" w:ascii="Times New Roman" w:hAnsi="Times New Roman" w:eastAsia="楷体_GB2312" w:cs="Times New Roman"/>
                <w:color w:val="auto"/>
                <w:sz w:val="21"/>
                <w:szCs w:val="21"/>
                <w:lang w:eastAsia="zh-CN"/>
              </w:rPr>
              <w:t>□</w:t>
            </w:r>
            <w:r>
              <w:rPr>
                <w:rFonts w:ascii="Times New Roman" w:hAnsi="Times New Roman" w:eastAsia="楷体_GB2312" w:cs="Times New Roman"/>
                <w:color w:val="auto"/>
                <w:sz w:val="21"/>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jc w:val="center"/>
        </w:trPr>
        <w:tc>
          <w:tcPr>
            <w:tcW w:w="1126" w:type="dxa"/>
            <w:vMerge w:val="restart"/>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上一年度个人剂量监测情况</w:t>
            </w:r>
          </w:p>
        </w:tc>
        <w:tc>
          <w:tcPr>
            <w:tcW w:w="7626" w:type="dxa"/>
            <w:gridSpan w:val="4"/>
            <w:vAlign w:val="center"/>
          </w:tcPr>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个人剂量监测机构名称：</w:t>
            </w:r>
            <w:r>
              <w:rPr>
                <w:rFonts w:ascii="Times New Roman" w:hAnsi="Times New Roman" w:eastAsia="楷体_GB2312" w:cs="Times New Roman"/>
                <w:color w:val="auto"/>
                <w:kern w:val="0"/>
                <w:sz w:val="21"/>
                <w:szCs w:val="21"/>
                <w:u w:val="single"/>
              </w:rPr>
              <w:t xml:space="preserve"> </w:t>
            </w:r>
            <w:r>
              <w:rPr>
                <w:rFonts w:ascii="Times New Roman" w:hAnsi="Times New Roman" w:eastAsia="楷体_GB2312" w:cs="Times New Roman"/>
                <w:color w:val="auto"/>
                <w:sz w:val="21"/>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用人单位开展个人剂量监测人数</w:t>
            </w:r>
            <w:r>
              <w:rPr>
                <w:rFonts w:ascii="Times New Roman" w:hAnsi="Times New Roman" w:eastAsia="楷体_GB2312" w:cs="Times New Roman"/>
                <w:color w:val="auto"/>
                <w:kern w:val="0"/>
                <w:sz w:val="21"/>
                <w:szCs w:val="21"/>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jc w:val="center"/>
        </w:trPr>
        <w:tc>
          <w:tcPr>
            <w:tcW w:w="1126" w:type="dxa"/>
            <w:vMerge w:val="continue"/>
            <w:vAlign w:val="center"/>
          </w:tcPr>
          <w:p>
            <w:pPr>
              <w:snapToGrid w:val="0"/>
              <w:spacing w:line="240" w:lineRule="exact"/>
              <w:jc w:val="center"/>
              <w:rPr>
                <w:rFonts w:ascii="Times New Roman" w:hAnsi="Times New Roman" w:eastAsia="楷体_GB2312" w:cs="Times New Roman"/>
                <w:color w:val="auto"/>
                <w:sz w:val="21"/>
                <w:szCs w:val="21"/>
              </w:rPr>
            </w:pPr>
          </w:p>
        </w:tc>
        <w:tc>
          <w:tcPr>
            <w:tcW w:w="7626" w:type="dxa"/>
            <w:gridSpan w:val="4"/>
            <w:vAlign w:val="center"/>
          </w:tcPr>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既往5年有效剂量大于20mSv：</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人，最大剂量：</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mSv，</w:t>
            </w:r>
          </w:p>
          <w:p>
            <w:pP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大于20mSv开展体检</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jc w:val="center"/>
        </w:trPr>
        <w:tc>
          <w:tcPr>
            <w:tcW w:w="1126" w:type="dxa"/>
            <w:vAlign w:val="center"/>
          </w:tcPr>
          <w:p>
            <w:pPr>
              <w:snapToGrid w:val="0"/>
              <w:spacing w:line="240" w:lineRule="exact"/>
              <w:jc w:val="center"/>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辐射防护检测仪表和个人防护用品配置情况</w:t>
            </w:r>
          </w:p>
        </w:tc>
        <w:tc>
          <w:tcPr>
            <w:tcW w:w="7626" w:type="dxa"/>
            <w:gridSpan w:val="4"/>
            <w:vAlign w:val="center"/>
          </w:tcPr>
          <w:p>
            <w:pPr>
              <w:numPr>
                <w:ilvl w:val="0"/>
                <w:numId w:val="0"/>
              </w:numPr>
              <w:spacing w:line="300" w:lineRule="exact"/>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X，γ辐射防护巡测仪</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台，中子当量仪</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w:t>
            </w:r>
          </w:p>
          <w:p>
            <w:pPr>
              <w:numPr>
                <w:ilvl w:val="0"/>
                <w:numId w:val="0"/>
              </w:numPr>
              <w:spacing w:line="300" w:lineRule="exact"/>
              <w:ind w:firstLine="0" w:firstLineChars="0"/>
              <w:rPr>
                <w:rFonts w:ascii="Times New Roman" w:hAnsi="Times New Roman" w:eastAsia="楷体_GB2312" w:cs="Times New Roman"/>
                <w:color w:val="auto"/>
                <w:sz w:val="21"/>
                <w:szCs w:val="21"/>
              </w:rPr>
            </w:pPr>
            <w:r>
              <w:rPr>
                <w:rFonts w:ascii="Times New Roman" w:hAnsi="Times New Roman" w:eastAsia="楷体_GB2312" w:cs="Times New Roman"/>
                <w:color w:val="auto"/>
                <w:sz w:val="21"/>
                <w:szCs w:val="21"/>
              </w:rPr>
              <w:t>α/β表面污染仪</w:t>
            </w:r>
            <w:r>
              <w:rPr>
                <w:rFonts w:ascii="Times New Roman" w:hAnsi="Times New Roman" w:eastAsia="楷体_GB2312" w:cs="Times New Roman"/>
                <w:color w:val="auto"/>
                <w:sz w:val="21"/>
                <w:szCs w:val="21"/>
                <w:u w:val="single"/>
              </w:rPr>
              <w:t xml:space="preserve">  </w:t>
            </w:r>
            <w:r>
              <w:rPr>
                <w:rFonts w:hint="eastAsia"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台，个人剂量报警仪</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台；个人防护用品</w:t>
            </w:r>
            <w:r>
              <w:rPr>
                <w:rFonts w:ascii="Times New Roman" w:hAnsi="Times New Roman" w:eastAsia="楷体_GB2312" w:cs="Times New Roman"/>
                <w:color w:val="auto"/>
                <w:sz w:val="21"/>
                <w:szCs w:val="21"/>
                <w:u w:val="single"/>
              </w:rPr>
              <w:t xml:space="preserve">   </w:t>
            </w:r>
            <w:r>
              <w:rPr>
                <w:rFonts w:hint="eastAsia" w:ascii="Times New Roman" w:hAnsi="Times New Roman" w:eastAsia="楷体_GB2312" w:cs="Times New Roman"/>
                <w:color w:val="auto"/>
                <w:sz w:val="21"/>
                <w:szCs w:val="21"/>
                <w:u w:val="single"/>
                <w:lang w:val="en-US" w:eastAsia="zh-CN"/>
              </w:rPr>
              <w:t xml:space="preserve"> </w:t>
            </w:r>
            <w:r>
              <w:rPr>
                <w:rFonts w:ascii="Times New Roman" w:hAnsi="Times New Roman" w:eastAsia="楷体_GB2312" w:cs="Times New Roman"/>
                <w:color w:val="auto"/>
                <w:sz w:val="21"/>
                <w:szCs w:val="21"/>
                <w:u w:val="single"/>
              </w:rPr>
              <w:t xml:space="preserve">  </w:t>
            </w:r>
            <w:r>
              <w:rPr>
                <w:rFonts w:ascii="Times New Roman" w:hAnsi="Times New Roman" w:eastAsia="楷体_GB2312" w:cs="Times New Roman"/>
                <w:color w:val="auto"/>
                <w:sz w:val="21"/>
                <w:szCs w:val="21"/>
              </w:rPr>
              <w:t>件</w:t>
            </w:r>
          </w:p>
          <w:p>
            <w:pPr>
              <w:numPr>
                <w:ilvl w:val="0"/>
                <w:numId w:val="0"/>
              </w:numPr>
              <w:spacing w:line="300" w:lineRule="exact"/>
              <w:ind w:firstLine="630" w:firstLineChars="300"/>
              <w:rPr>
                <w:rFonts w:ascii="Times New Roman" w:hAnsi="Times New Roman" w:eastAsia="楷体_GB2312" w:cs="Times New Roman"/>
                <w:color w:val="auto"/>
                <w:sz w:val="21"/>
                <w:szCs w:val="21"/>
              </w:rPr>
            </w:pPr>
          </w:p>
        </w:tc>
      </w:tr>
    </w:tbl>
    <w:p>
      <w:pPr>
        <w:pStyle w:val="17"/>
        <w:spacing w:line="360" w:lineRule="auto"/>
        <w:ind w:firstLine="560"/>
        <w:rPr>
          <w:rFonts w:ascii="黑体" w:hAnsi="黑体" w:eastAsia="黑体" w:cs="仿宋_GB2312"/>
          <w:color w:val="auto"/>
          <w:sz w:val="28"/>
          <w:szCs w:val="28"/>
        </w:rPr>
      </w:pPr>
      <w:r>
        <w:rPr>
          <w:rFonts w:hint="eastAsia" w:ascii="黑体" w:hAnsi="黑体" w:eastAsia="黑体" w:cs="仿宋_GB2312"/>
          <w:color w:val="auto"/>
          <w:sz w:val="21"/>
          <w:szCs w:val="21"/>
        </w:rPr>
        <w:t>填表说明：</w:t>
      </w:r>
    </w:p>
    <w:p>
      <w:pPr>
        <w:pStyle w:val="17"/>
        <w:numPr>
          <w:ilvl w:val="0"/>
          <w:numId w:val="0"/>
        </w:numPr>
        <w:spacing w:line="360" w:lineRule="auto"/>
        <w:ind w:firstLine="480" w:firstLineChars="200"/>
        <w:rPr>
          <w:rFonts w:hint="eastAsia" w:ascii="Times New Roman" w:hAnsi="Times New Roman" w:eastAsia="仿宋" w:cs="Times New Roman"/>
          <w:color w:val="auto"/>
          <w:sz w:val="24"/>
          <w:szCs w:val="24"/>
        </w:rPr>
      </w:pPr>
      <w:r>
        <w:rPr>
          <w:rFonts w:hint="eastAsia" w:eastAsia="仿宋" w:cs="Times New Roman"/>
          <w:color w:val="auto"/>
          <w:sz w:val="24"/>
          <w:szCs w:val="24"/>
          <w:lang w:val="en-US" w:eastAsia="zh-CN"/>
        </w:rPr>
        <w:t>1.</w:t>
      </w:r>
      <w:r>
        <w:rPr>
          <w:rFonts w:hint="eastAsia" w:ascii="Times New Roman" w:hAnsi="Times New Roman" w:eastAsia="仿宋" w:cs="Times New Roman"/>
          <w:color w:val="auto"/>
          <w:sz w:val="24"/>
          <w:szCs w:val="24"/>
        </w:rPr>
        <w:t>调查表所列全部内容均应填写完整。</w:t>
      </w:r>
    </w:p>
    <w:p>
      <w:pPr>
        <w:pStyle w:val="17"/>
        <w:numPr>
          <w:ilvl w:val="0"/>
          <w:numId w:val="0"/>
        </w:numPr>
        <w:spacing w:line="360" w:lineRule="auto"/>
        <w:ind w:firstLine="480" w:firstLineChars="200"/>
        <w:rPr>
          <w:rFonts w:hint="eastAsia" w:ascii="Times New Roman" w:hAnsi="Times New Roman" w:eastAsia="仿宋" w:cs="Times New Roman"/>
          <w:color w:val="auto"/>
          <w:sz w:val="24"/>
          <w:szCs w:val="24"/>
        </w:rPr>
      </w:pPr>
      <w:r>
        <w:rPr>
          <w:rFonts w:hint="eastAsia" w:ascii="仿宋_GB2312" w:eastAsia="仿宋_GB2312" w:cs="Times New Roman"/>
          <w:bCs/>
          <w:color w:val="auto"/>
          <w:sz w:val="24"/>
          <w:szCs w:val="24"/>
          <w:lang w:val="en-US" w:eastAsia="zh-CN"/>
        </w:rPr>
        <w:t>2.</w:t>
      </w:r>
      <w:r>
        <w:rPr>
          <w:rFonts w:hint="eastAsia" w:ascii="仿宋_GB2312" w:hAnsi="Times New Roman" w:eastAsia="仿宋_GB2312" w:cs="Times New Roman"/>
          <w:bCs/>
          <w:color w:val="auto"/>
          <w:sz w:val="24"/>
          <w:szCs w:val="24"/>
        </w:rPr>
        <w:t>统一社会信用代码：法人证书</w:t>
      </w:r>
      <w:r>
        <w:rPr>
          <w:rFonts w:hint="eastAsia" w:ascii="仿宋_GB2312" w:eastAsia="仿宋_GB2312" w:cs="Times New Roman"/>
          <w:bCs/>
          <w:color w:val="auto"/>
          <w:sz w:val="24"/>
          <w:szCs w:val="24"/>
          <w:lang w:eastAsia="zh-CN"/>
        </w:rPr>
        <w:t>。</w:t>
      </w:r>
    </w:p>
    <w:p>
      <w:pPr>
        <w:pStyle w:val="17"/>
        <w:numPr>
          <w:ilvl w:val="0"/>
          <w:numId w:val="0"/>
        </w:numPr>
        <w:spacing w:line="360" w:lineRule="auto"/>
        <w:ind w:firstLine="480" w:firstLineChars="200"/>
        <w:rPr>
          <w:rFonts w:hint="eastAsia" w:ascii="Times New Roman" w:hAnsi="Times New Roman" w:eastAsia="仿宋" w:cs="Times New Roman"/>
          <w:color w:val="auto"/>
          <w:sz w:val="24"/>
          <w:szCs w:val="24"/>
        </w:rPr>
      </w:pPr>
      <w:r>
        <w:rPr>
          <w:rFonts w:hint="eastAsia" w:eastAsia="仿宋" w:cs="Times New Roman"/>
          <w:color w:val="auto"/>
          <w:sz w:val="24"/>
          <w:szCs w:val="24"/>
          <w:lang w:val="en-US" w:eastAsia="zh-CN"/>
        </w:rPr>
        <w:t>3.</w:t>
      </w:r>
      <w:r>
        <w:rPr>
          <w:rFonts w:hint="eastAsia" w:eastAsia="仿宋" w:cs="Times New Roman"/>
          <w:color w:val="auto"/>
          <w:sz w:val="24"/>
          <w:szCs w:val="24"/>
          <w:lang w:eastAsia="zh-CN"/>
        </w:rPr>
        <w:t>行业代码参照《国发经济行业分类》</w:t>
      </w:r>
      <w:r>
        <w:rPr>
          <w:rFonts w:hint="eastAsia" w:eastAsia="仿宋" w:cs="Times New Roman"/>
          <w:color w:val="auto"/>
          <w:sz w:val="24"/>
          <w:szCs w:val="24"/>
          <w:lang w:val="en-US" w:eastAsia="zh-CN"/>
        </w:rPr>
        <w:t>GB/T4754-2017，</w:t>
      </w:r>
      <w:r>
        <w:rPr>
          <w:rFonts w:hint="eastAsia" w:ascii="仿宋_GB2312" w:hAnsi="Times New Roman" w:eastAsia="仿宋_GB2312" w:cs="Times New Roman"/>
          <w:bCs/>
          <w:color w:val="auto"/>
          <w:sz w:val="24"/>
          <w:szCs w:val="24"/>
        </w:rPr>
        <w:t>国家统计局官方网站。</w:t>
      </w:r>
      <w:r>
        <w:rPr>
          <w:rFonts w:hint="eastAsia" w:ascii="仿宋_GB2312" w:hAnsi="Times New Roman" w:eastAsia="仿宋_GB2312" w:cs="Times New Roman"/>
          <w:bCs/>
          <w:color w:val="auto"/>
          <w:sz w:val="24"/>
          <w:szCs w:val="24"/>
          <w:lang w:eastAsia="zh-CN"/>
        </w:rPr>
        <w:t>可</w:t>
      </w:r>
      <w:r>
        <w:rPr>
          <w:rFonts w:hint="eastAsia" w:eastAsia="仿宋" w:cs="Times New Roman"/>
          <w:color w:val="auto"/>
          <w:sz w:val="24"/>
          <w:szCs w:val="24"/>
          <w:lang w:val="en-US" w:eastAsia="zh-CN"/>
        </w:rPr>
        <w:t>按“门类(字母)+大类（两位数字）”的要求进行分类，例如：林业行业代码为A02。</w:t>
      </w:r>
    </w:p>
    <w:p>
      <w:pPr>
        <w:pStyle w:val="17"/>
        <w:numPr>
          <w:ilvl w:val="0"/>
          <w:numId w:val="0"/>
        </w:numPr>
        <w:spacing w:line="360" w:lineRule="auto"/>
        <w:ind w:firstLine="480" w:firstLineChars="200"/>
        <w:rPr>
          <w:rFonts w:hint="eastAsia" w:ascii="Times New Roman" w:hAnsi="Times New Roman" w:eastAsia="仿宋" w:cs="Times New Roman"/>
          <w:color w:val="auto"/>
          <w:sz w:val="24"/>
          <w:szCs w:val="24"/>
        </w:rPr>
      </w:pPr>
      <w:r>
        <w:rPr>
          <w:rFonts w:hint="eastAsia" w:eastAsia="仿宋" w:cs="Times New Roman"/>
          <w:bCs w:val="0"/>
          <w:color w:val="auto"/>
          <w:sz w:val="24"/>
          <w:szCs w:val="24"/>
          <w:lang w:val="en-US" w:eastAsia="zh-CN"/>
        </w:rPr>
        <w:t>4.</w:t>
      </w:r>
      <w:r>
        <w:rPr>
          <w:rFonts w:hint="eastAsia" w:ascii="Times New Roman" w:hAnsi="Times New Roman" w:eastAsia="仿宋" w:cs="Times New Roman"/>
          <w:bCs w:val="0"/>
          <w:color w:val="auto"/>
          <w:sz w:val="24"/>
          <w:szCs w:val="24"/>
        </w:rPr>
        <w:t>调查对象类别</w:t>
      </w:r>
      <w:r>
        <w:rPr>
          <w:rFonts w:hint="eastAsia" w:eastAsia="仿宋" w:cs="Times New Roman"/>
          <w:bCs w:val="0"/>
          <w:color w:val="auto"/>
          <w:sz w:val="24"/>
          <w:szCs w:val="24"/>
          <w:lang w:eastAsia="zh-CN"/>
        </w:rPr>
        <w:t>：“</w:t>
      </w:r>
      <w:r>
        <w:rPr>
          <w:rFonts w:hint="eastAsia" w:eastAsia="仿宋" w:cs="Times New Roman"/>
          <w:bCs w:val="0"/>
          <w:color w:val="auto"/>
          <w:sz w:val="24"/>
          <w:szCs w:val="24"/>
          <w:lang w:val="en-US" w:eastAsia="zh-CN"/>
        </w:rPr>
        <w:t>1.工业应用</w:t>
      </w:r>
      <w:r>
        <w:rPr>
          <w:rFonts w:hint="eastAsia" w:eastAsia="仿宋" w:cs="Times New Roman"/>
          <w:bCs w:val="0"/>
          <w:color w:val="auto"/>
          <w:sz w:val="24"/>
          <w:szCs w:val="24"/>
          <w:lang w:eastAsia="zh-CN"/>
        </w:rPr>
        <w:t>”，</w:t>
      </w:r>
      <w:r>
        <w:rPr>
          <w:rFonts w:hint="eastAsia" w:ascii="Times New Roman" w:hAnsi="Times New Roman" w:eastAsia="仿宋" w:cs="Times New Roman"/>
          <w:bCs w:val="0"/>
          <w:color w:val="auto"/>
          <w:sz w:val="24"/>
          <w:szCs w:val="24"/>
        </w:rPr>
        <w:t>其他选项要给出具体名</w:t>
      </w:r>
      <w:r>
        <w:rPr>
          <w:rFonts w:hint="eastAsia" w:eastAsia="仿宋" w:cs="Times New Roman"/>
          <w:bCs w:val="0"/>
          <w:color w:val="auto"/>
          <w:sz w:val="24"/>
          <w:szCs w:val="24"/>
          <w:lang w:eastAsia="zh-CN"/>
        </w:rPr>
        <w:t>称。</w:t>
      </w:r>
      <w:r>
        <w:rPr>
          <w:rFonts w:hint="eastAsia" w:ascii="Times New Roman" w:hAnsi="Times New Roman" w:eastAsia="仿宋" w:cs="Times New Roman"/>
          <w:bCs w:val="0"/>
          <w:color w:val="auto"/>
          <w:sz w:val="24"/>
          <w:szCs w:val="24"/>
        </w:rPr>
        <w:t>“</w:t>
      </w:r>
      <w:r>
        <w:rPr>
          <w:rFonts w:hint="eastAsia" w:eastAsia="仿宋" w:cs="Times New Roman"/>
          <w:bCs w:val="0"/>
          <w:color w:val="auto"/>
          <w:sz w:val="24"/>
          <w:szCs w:val="24"/>
          <w:lang w:val="en-US" w:eastAsia="zh-CN"/>
        </w:rPr>
        <w:t>2</w:t>
      </w:r>
      <w:r>
        <w:rPr>
          <w:rFonts w:hint="eastAsia" w:ascii="Times New Roman" w:hAnsi="Times New Roman" w:eastAsia="仿宋" w:cs="Times New Roman"/>
          <w:bCs w:val="0"/>
          <w:color w:val="auto"/>
          <w:sz w:val="24"/>
          <w:szCs w:val="24"/>
        </w:rPr>
        <w:t>.</w:t>
      </w:r>
      <w:r>
        <w:rPr>
          <w:rFonts w:hint="eastAsia" w:eastAsia="仿宋" w:cs="Times New Roman"/>
          <w:bCs w:val="0"/>
          <w:color w:val="auto"/>
          <w:sz w:val="24"/>
          <w:szCs w:val="24"/>
          <w:lang w:eastAsia="zh-CN"/>
        </w:rPr>
        <w:t>宠物医院</w:t>
      </w:r>
      <w:r>
        <w:rPr>
          <w:rFonts w:hint="eastAsia" w:ascii="Times New Roman" w:hAnsi="Times New Roman" w:eastAsia="仿宋" w:cs="Times New Roman"/>
          <w:bCs w:val="0"/>
          <w:color w:val="auto"/>
          <w:sz w:val="24"/>
          <w:szCs w:val="24"/>
        </w:rPr>
        <w:t>”。填写其他类时按照《职业性外照射个人监测规范》（GBZ 128）中职业照射的职业分类名称填写。如</w:t>
      </w:r>
      <w:r>
        <w:rPr>
          <w:rFonts w:hint="eastAsia" w:eastAsia="仿宋" w:cs="Times New Roman"/>
          <w:bCs w:val="0"/>
          <w:color w:val="auto"/>
          <w:sz w:val="24"/>
          <w:szCs w:val="24"/>
          <w:lang w:eastAsia="zh-CN"/>
        </w:rPr>
        <w:t>果是</w:t>
      </w:r>
      <w:r>
        <w:rPr>
          <w:rFonts w:hint="eastAsia" w:ascii="Times New Roman" w:hAnsi="Times New Roman" w:eastAsia="仿宋" w:cs="Times New Roman"/>
          <w:bCs w:val="0"/>
          <w:color w:val="auto"/>
          <w:sz w:val="24"/>
          <w:szCs w:val="24"/>
        </w:rPr>
        <w:t>“宠物医院”，调查对象类别选择“兽医学”。</w:t>
      </w:r>
    </w:p>
    <w:p>
      <w:pPr>
        <w:pStyle w:val="17"/>
        <w:numPr>
          <w:ilvl w:val="0"/>
          <w:numId w:val="0"/>
        </w:numPr>
        <w:spacing w:line="360" w:lineRule="auto"/>
        <w:ind w:firstLine="480" w:firstLineChars="200"/>
        <w:rPr>
          <w:rFonts w:hint="eastAsia" w:ascii="Times New Roman" w:hAnsi="Times New Roman" w:eastAsia="仿宋" w:cs="Times New Roman"/>
          <w:color w:val="auto"/>
          <w:sz w:val="24"/>
          <w:szCs w:val="24"/>
        </w:rPr>
      </w:pPr>
      <w:r>
        <w:rPr>
          <w:rFonts w:hint="eastAsia" w:eastAsia="仿宋" w:cs="Times New Roman"/>
          <w:bCs w:val="0"/>
          <w:color w:val="auto"/>
          <w:sz w:val="24"/>
          <w:szCs w:val="24"/>
          <w:lang w:val="en-US" w:eastAsia="zh-CN"/>
        </w:rPr>
        <w:t>5.</w:t>
      </w:r>
      <w:r>
        <w:rPr>
          <w:rFonts w:hint="eastAsia" w:ascii="Times New Roman" w:hAnsi="Times New Roman" w:eastAsia="仿宋" w:cs="Times New Roman"/>
          <w:bCs w:val="0"/>
          <w:color w:val="auto"/>
          <w:sz w:val="24"/>
          <w:szCs w:val="24"/>
        </w:rPr>
        <w:t>辐射源</w:t>
      </w:r>
      <w:r>
        <w:rPr>
          <w:rFonts w:hint="eastAsia" w:eastAsia="仿宋" w:cs="Times New Roman"/>
          <w:bCs w:val="0"/>
          <w:color w:val="auto"/>
          <w:sz w:val="24"/>
          <w:szCs w:val="24"/>
          <w:lang w:eastAsia="zh-CN"/>
        </w:rPr>
        <w:t>项情况</w:t>
      </w:r>
      <w:r>
        <w:rPr>
          <w:rFonts w:hint="eastAsia" w:ascii="Times New Roman" w:hAnsi="Times New Roman" w:eastAsia="仿宋" w:cs="Times New Roman"/>
          <w:bCs w:val="0"/>
          <w:color w:val="auto"/>
          <w:sz w:val="24"/>
          <w:szCs w:val="24"/>
        </w:rPr>
        <w:t>：其他选项要给出具体名称。</w:t>
      </w:r>
    </w:p>
    <w:p>
      <w:pPr>
        <w:pStyle w:val="17"/>
        <w:spacing w:line="360" w:lineRule="auto"/>
        <w:ind w:firstLine="480" w:firstLineChars="200"/>
        <w:rPr>
          <w:rFonts w:ascii="Times New Roman" w:hAnsi="Times New Roman" w:eastAsia="仿宋" w:cs="Times New Roman"/>
          <w:color w:val="auto"/>
          <w:sz w:val="24"/>
          <w:szCs w:val="24"/>
        </w:rPr>
      </w:pPr>
      <w:r>
        <w:rPr>
          <w:rFonts w:hint="eastAsia" w:eastAsia="仿宋" w:cs="Times New Roman"/>
          <w:color w:val="auto"/>
          <w:sz w:val="24"/>
          <w:szCs w:val="24"/>
          <w:lang w:val="en-US" w:eastAsia="zh-CN"/>
        </w:rPr>
        <w:t>6.</w:t>
      </w:r>
      <w:r>
        <w:rPr>
          <w:rFonts w:hint="eastAsia" w:ascii="Times New Roman" w:hAnsi="Times New Roman" w:eastAsia="仿宋" w:cs="Times New Roman"/>
          <w:color w:val="auto"/>
          <w:sz w:val="24"/>
          <w:szCs w:val="24"/>
        </w:rPr>
        <w:t>射线装置名称是指非医用加速器、X射线工业探伤装置、行包检测仪、核仪表</w:t>
      </w:r>
      <w:r>
        <w:rPr>
          <w:rFonts w:hint="eastAsia" w:eastAsia="仿宋" w:cs="Times New Roman"/>
          <w:color w:val="auto"/>
          <w:sz w:val="24"/>
          <w:szCs w:val="24"/>
          <w:lang w:eastAsia="zh-CN"/>
        </w:rPr>
        <w:t>（含射线）</w:t>
      </w:r>
      <w:r>
        <w:rPr>
          <w:rFonts w:hint="eastAsia" w:ascii="Times New Roman" w:hAnsi="Times New Roman" w:eastAsia="仿宋" w:cs="Times New Roman"/>
          <w:color w:val="auto"/>
          <w:sz w:val="24"/>
          <w:szCs w:val="24"/>
        </w:rPr>
        <w:t>或其他；射线装置分类是指按照</w:t>
      </w:r>
      <w:r>
        <w:rPr>
          <w:rFonts w:hint="eastAsia" w:eastAsia="仿宋"/>
          <w:color w:val="auto"/>
          <w:sz w:val="24"/>
          <w:szCs w:val="24"/>
        </w:rPr>
        <w:t>《射线装置分类》（环境保护部、国家卫生和计划生育委员会公告</w:t>
      </w:r>
      <w:r>
        <w:rPr>
          <w:rFonts w:eastAsia="仿宋"/>
          <w:color w:val="auto"/>
          <w:sz w:val="24"/>
          <w:szCs w:val="24"/>
        </w:rPr>
        <w:t>[2017]</w:t>
      </w:r>
      <w:r>
        <w:rPr>
          <w:rFonts w:hint="eastAsia" w:eastAsia="仿宋"/>
          <w:color w:val="auto"/>
          <w:sz w:val="24"/>
          <w:szCs w:val="24"/>
        </w:rPr>
        <w:t>年第</w:t>
      </w:r>
      <w:r>
        <w:rPr>
          <w:rFonts w:eastAsia="仿宋"/>
          <w:color w:val="auto"/>
          <w:sz w:val="24"/>
          <w:szCs w:val="24"/>
        </w:rPr>
        <w:t>66</w:t>
      </w:r>
      <w:r>
        <w:rPr>
          <w:rFonts w:hint="eastAsia" w:eastAsia="仿宋"/>
          <w:color w:val="auto"/>
          <w:sz w:val="24"/>
          <w:szCs w:val="24"/>
        </w:rPr>
        <w:t>号）规定的</w:t>
      </w:r>
      <w:r>
        <w:rPr>
          <w:rFonts w:hint="eastAsia" w:ascii="Times New Roman" w:hAnsi="Times New Roman" w:eastAsia="仿宋" w:cs="Times New Roman"/>
          <w:color w:val="auto"/>
          <w:sz w:val="24"/>
          <w:szCs w:val="24"/>
        </w:rPr>
        <w:t>Ⅰ、Ⅱ、Ⅲ类。</w:t>
      </w:r>
    </w:p>
    <w:p>
      <w:pPr>
        <w:pStyle w:val="17"/>
        <w:spacing w:line="360" w:lineRule="auto"/>
        <w:ind w:firstLine="480" w:firstLineChars="200"/>
        <w:rPr>
          <w:rFonts w:ascii="Times New Roman" w:hAnsi="Times New Roman" w:eastAsia="仿宋" w:cs="Times New Roman"/>
          <w:color w:val="auto"/>
          <w:sz w:val="24"/>
          <w:szCs w:val="24"/>
        </w:rPr>
      </w:pPr>
      <w:r>
        <w:rPr>
          <w:rFonts w:hint="eastAsia" w:eastAsia="仿宋" w:cs="Times New Roman"/>
          <w:color w:val="auto"/>
          <w:sz w:val="24"/>
          <w:szCs w:val="24"/>
          <w:lang w:val="en-US" w:eastAsia="zh-CN"/>
        </w:rPr>
        <w:t>7.</w:t>
      </w:r>
      <w:r>
        <w:rPr>
          <w:rFonts w:hint="eastAsia" w:eastAsia="仿宋" w:cs="Times New Roman"/>
          <w:color w:val="auto"/>
          <w:sz w:val="24"/>
          <w:szCs w:val="24"/>
          <w:highlight w:val="none"/>
          <w:lang w:eastAsia="zh-CN"/>
        </w:rPr>
        <w:t>含</w:t>
      </w:r>
      <w:r>
        <w:rPr>
          <w:rFonts w:hint="eastAsia" w:ascii="Times New Roman" w:hAnsi="Times New Roman" w:eastAsia="仿宋" w:cs="Times New Roman"/>
          <w:color w:val="auto"/>
          <w:sz w:val="24"/>
          <w:szCs w:val="24"/>
          <w:highlight w:val="none"/>
        </w:rPr>
        <w:t>源</w:t>
      </w:r>
      <w:r>
        <w:rPr>
          <w:rFonts w:hint="eastAsia" w:ascii="Times New Roman" w:hAnsi="Times New Roman" w:eastAsia="仿宋" w:cs="Times New Roman"/>
          <w:color w:val="auto"/>
          <w:sz w:val="24"/>
          <w:szCs w:val="24"/>
        </w:rPr>
        <w:t>装置名称是指γ辐照装置、γ射线工业探伤、核仪表</w:t>
      </w:r>
      <w:r>
        <w:rPr>
          <w:rFonts w:hint="eastAsia" w:eastAsia="仿宋" w:cs="Times New Roman"/>
          <w:color w:val="auto"/>
          <w:sz w:val="24"/>
          <w:szCs w:val="24"/>
          <w:lang w:eastAsia="zh-CN"/>
        </w:rPr>
        <w:t>（含源）</w:t>
      </w:r>
      <w:r>
        <w:rPr>
          <w:rFonts w:hint="eastAsia" w:ascii="Times New Roman" w:hAnsi="Times New Roman" w:eastAsia="仿宋" w:cs="Times New Roman"/>
          <w:color w:val="auto"/>
          <w:sz w:val="24"/>
          <w:szCs w:val="24"/>
        </w:rPr>
        <w:t>、密封源测井等；放射源分类是指按照《放射源分类办法》</w:t>
      </w:r>
      <w:r>
        <w:rPr>
          <w:rFonts w:hint="eastAsia" w:eastAsia="仿宋"/>
          <w:color w:val="auto"/>
          <w:sz w:val="24"/>
          <w:szCs w:val="24"/>
        </w:rPr>
        <w:t>（国家环境保护总局公告</w:t>
      </w:r>
      <w:r>
        <w:rPr>
          <w:rFonts w:eastAsia="仿宋"/>
          <w:color w:val="auto"/>
          <w:sz w:val="24"/>
          <w:szCs w:val="24"/>
        </w:rPr>
        <w:t>[2005]</w:t>
      </w:r>
      <w:r>
        <w:rPr>
          <w:rFonts w:hint="eastAsia" w:eastAsia="仿宋"/>
          <w:color w:val="auto"/>
          <w:sz w:val="24"/>
          <w:szCs w:val="24"/>
        </w:rPr>
        <w:t>年第</w:t>
      </w:r>
      <w:r>
        <w:rPr>
          <w:rFonts w:eastAsia="仿宋"/>
          <w:color w:val="auto"/>
          <w:sz w:val="24"/>
          <w:szCs w:val="24"/>
        </w:rPr>
        <w:t>62</w:t>
      </w:r>
      <w:r>
        <w:rPr>
          <w:rFonts w:hint="eastAsia" w:eastAsia="仿宋"/>
          <w:color w:val="auto"/>
          <w:sz w:val="24"/>
          <w:szCs w:val="24"/>
        </w:rPr>
        <w:t>号）规定的</w:t>
      </w:r>
      <w:r>
        <w:rPr>
          <w:rFonts w:hint="eastAsia" w:ascii="Times New Roman" w:hAnsi="Times New Roman" w:eastAsia="仿宋" w:cs="Times New Roman"/>
          <w:color w:val="auto"/>
          <w:sz w:val="24"/>
          <w:szCs w:val="24"/>
        </w:rPr>
        <w:t>Ⅰ、Ⅱ、Ⅲ、</w:t>
      </w:r>
      <w:r>
        <w:rPr>
          <w:rFonts w:ascii="Times New Roman" w:hAnsi="Times New Roman" w:eastAsia="仿宋" w:cs="Times New Roman"/>
          <w:color w:val="auto"/>
          <w:sz w:val="24"/>
          <w:szCs w:val="24"/>
        </w:rPr>
        <w:t>IV</w:t>
      </w:r>
      <w:r>
        <w:rPr>
          <w:rFonts w:hint="eastAsia" w:ascii="Times New Roman" w:hAnsi="Times New Roman" w:eastAsia="仿宋" w:cs="Times New Roman"/>
          <w:color w:val="auto"/>
          <w:sz w:val="24"/>
          <w:szCs w:val="24"/>
        </w:rPr>
        <w:t>、</w:t>
      </w:r>
      <w:r>
        <w:rPr>
          <w:rFonts w:ascii="Times New Roman" w:hAnsi="Times New Roman" w:eastAsia="仿宋" w:cs="Times New Roman"/>
          <w:color w:val="auto"/>
          <w:sz w:val="24"/>
          <w:szCs w:val="24"/>
        </w:rPr>
        <w:t>V</w:t>
      </w:r>
      <w:r>
        <w:rPr>
          <w:rFonts w:hint="eastAsia" w:ascii="Times New Roman" w:hAnsi="Times New Roman" w:eastAsia="仿宋" w:cs="Times New Roman"/>
          <w:color w:val="auto"/>
          <w:sz w:val="24"/>
          <w:szCs w:val="24"/>
        </w:rPr>
        <w:t>类。</w:t>
      </w:r>
    </w:p>
    <w:p>
      <w:pPr>
        <w:pStyle w:val="17"/>
        <w:spacing w:line="360" w:lineRule="auto"/>
        <w:ind w:firstLine="480"/>
        <w:rPr>
          <w:rFonts w:ascii="Times New Roman" w:hAnsi="Times New Roman" w:eastAsia="仿宋" w:cs="Times New Roman"/>
          <w:color w:val="auto"/>
          <w:sz w:val="24"/>
          <w:szCs w:val="24"/>
        </w:rPr>
      </w:pPr>
      <w:r>
        <w:rPr>
          <w:rFonts w:hint="eastAsia" w:eastAsia="仿宋" w:cs="Times New Roman"/>
          <w:color w:val="auto"/>
          <w:sz w:val="24"/>
          <w:szCs w:val="24"/>
          <w:lang w:val="en-US" w:eastAsia="zh-CN"/>
        </w:rPr>
        <w:t>8.</w:t>
      </w:r>
      <w:r>
        <w:rPr>
          <w:rFonts w:hint="eastAsia" w:ascii="Times New Roman" w:hAnsi="Times New Roman" w:eastAsia="仿宋" w:cs="Times New Roman"/>
          <w:color w:val="auto"/>
          <w:sz w:val="24"/>
          <w:szCs w:val="24"/>
        </w:rPr>
        <w:t>放射防护培训是指接受卫生健康部门、生态环境部门、放射卫生技术服务机构、有关放射卫生学会或协会组织的或用人单位自行组织的放射防护知识培训等。</w:t>
      </w:r>
    </w:p>
    <w:p>
      <w:pPr>
        <w:pStyle w:val="17"/>
        <w:spacing w:line="360" w:lineRule="auto"/>
        <w:ind w:firstLine="480"/>
        <w:rPr>
          <w:rFonts w:ascii="Times New Roman" w:hAnsi="Times New Roman" w:eastAsia="仿宋" w:cs="Times New Roman"/>
          <w:color w:val="auto"/>
          <w:sz w:val="24"/>
          <w:szCs w:val="24"/>
        </w:rPr>
      </w:pPr>
      <w:r>
        <w:rPr>
          <w:rFonts w:hint="eastAsia" w:eastAsia="仿宋" w:cs="Times New Roman"/>
          <w:color w:val="auto"/>
          <w:sz w:val="24"/>
          <w:szCs w:val="24"/>
          <w:lang w:val="en-US" w:eastAsia="zh-CN"/>
        </w:rPr>
        <w:t>9.</w:t>
      </w:r>
      <w:r>
        <w:rPr>
          <w:rFonts w:hint="eastAsia" w:ascii="Times New Roman" w:hAnsi="Times New Roman" w:eastAsia="仿宋" w:cs="Times New Roman"/>
          <w:color w:val="auto"/>
          <w:sz w:val="24"/>
          <w:szCs w:val="24"/>
        </w:rPr>
        <w:t>个人剂量监测是指委托放射卫生技术服务机构或自主开展的监测。</w:t>
      </w:r>
    </w:p>
    <w:p>
      <w:pPr>
        <w:pStyle w:val="17"/>
        <w:spacing w:line="360" w:lineRule="auto"/>
        <w:ind w:firstLine="480"/>
        <w:rPr>
          <w:rFonts w:ascii="Times New Roman" w:hAnsi="Times New Roman" w:eastAsia="仿宋" w:cs="Times New Roman"/>
          <w:color w:val="auto"/>
          <w:sz w:val="24"/>
          <w:szCs w:val="24"/>
        </w:rPr>
      </w:pPr>
      <w:r>
        <w:rPr>
          <w:rFonts w:hint="eastAsia" w:eastAsia="仿宋" w:cs="Times New Roman"/>
          <w:color w:val="auto"/>
          <w:sz w:val="24"/>
          <w:szCs w:val="24"/>
          <w:lang w:val="en-US" w:eastAsia="zh-CN"/>
        </w:rPr>
        <w:t>10.</w:t>
      </w:r>
      <w:r>
        <w:rPr>
          <w:rFonts w:hint="eastAsia" w:ascii="仿宋" w:hAnsi="仿宋" w:eastAsia="仿宋" w:cs="仿宋_GB2312"/>
          <w:color w:val="auto"/>
          <w:sz w:val="24"/>
          <w:szCs w:val="24"/>
        </w:rPr>
        <w:t>职业健康检查是指</w:t>
      </w:r>
      <w:r>
        <w:rPr>
          <w:rFonts w:hint="eastAsia" w:ascii="Times New Roman" w:hAnsi="Times New Roman" w:eastAsia="仿宋" w:cs="Times New Roman"/>
          <w:color w:val="auto"/>
          <w:sz w:val="24"/>
          <w:szCs w:val="24"/>
        </w:rPr>
        <w:t>委托在卫生健康行政部门备案的职业健康检查机构开展的放射性职业健康体检。</w:t>
      </w:r>
    </w:p>
    <w:p>
      <w:pPr>
        <w:pStyle w:val="17"/>
        <w:spacing w:line="360" w:lineRule="auto"/>
        <w:ind w:firstLine="480"/>
        <w:rPr>
          <w:rFonts w:hint="eastAsia" w:ascii="Times New Roman" w:hAnsi="Times New Roman" w:eastAsia="仿宋" w:cs="Times New Roman"/>
          <w:color w:val="auto"/>
          <w:sz w:val="24"/>
          <w:szCs w:val="24"/>
        </w:rPr>
      </w:pPr>
      <w:r>
        <w:rPr>
          <w:rFonts w:hint="eastAsia" w:eastAsia="仿宋" w:cs="Times New Roman"/>
          <w:color w:val="auto"/>
          <w:sz w:val="24"/>
          <w:szCs w:val="24"/>
          <w:lang w:val="en-US" w:eastAsia="zh-CN"/>
        </w:rPr>
        <w:t>11.</w:t>
      </w:r>
      <w:r>
        <w:rPr>
          <w:rFonts w:hint="eastAsia" w:ascii="Times New Roman" w:hAnsi="Times New Roman" w:eastAsia="仿宋" w:cs="Times New Roman"/>
          <w:color w:val="auto"/>
          <w:sz w:val="24"/>
          <w:szCs w:val="24"/>
        </w:rPr>
        <w:t>现状评价是指</w:t>
      </w:r>
      <w:r>
        <w:rPr>
          <w:rFonts w:ascii="Times New Roman" w:hAnsi="Times New Roman" w:eastAsia="仿宋" w:cs="Times New Roman"/>
          <w:color w:val="auto"/>
          <w:sz w:val="24"/>
          <w:szCs w:val="24"/>
        </w:rPr>
        <w:t>20</w:t>
      </w:r>
      <w:r>
        <w:rPr>
          <w:rFonts w:hint="eastAsia" w:eastAsia="仿宋" w:cs="Times New Roman"/>
          <w:color w:val="auto"/>
          <w:sz w:val="24"/>
          <w:szCs w:val="24"/>
          <w:lang w:val="en-US" w:eastAsia="zh-CN"/>
        </w:rPr>
        <w:t>20</w:t>
      </w:r>
      <w:r>
        <w:rPr>
          <w:rFonts w:ascii="Times New Roman" w:hAnsi="Times New Roman" w:eastAsia="仿宋" w:cs="Times New Roman"/>
          <w:color w:val="auto"/>
          <w:sz w:val="24"/>
          <w:szCs w:val="24"/>
        </w:rPr>
        <w:t>~202</w:t>
      </w:r>
      <w:r>
        <w:rPr>
          <w:rFonts w:hint="eastAsia" w:eastAsia="仿宋" w:cs="Times New Roman"/>
          <w:color w:val="auto"/>
          <w:sz w:val="24"/>
          <w:szCs w:val="24"/>
          <w:lang w:val="en-US" w:eastAsia="zh-CN"/>
        </w:rPr>
        <w:t>2</w:t>
      </w:r>
      <w:r>
        <w:rPr>
          <w:rFonts w:hint="eastAsia" w:ascii="Times New Roman" w:hAnsi="Times New Roman" w:eastAsia="仿宋" w:cs="Times New Roman"/>
          <w:color w:val="auto"/>
          <w:sz w:val="24"/>
          <w:szCs w:val="24"/>
        </w:rPr>
        <w:t>年期间，三年内是否开展过放射性职业病危害因素现状评价。</w:t>
      </w:r>
    </w:p>
    <w:p>
      <w:pPr>
        <w:pStyle w:val="17"/>
        <w:spacing w:line="360" w:lineRule="auto"/>
        <w:ind w:firstLine="480"/>
        <w:rPr>
          <w:rFonts w:hint="eastAsia" w:ascii="Times New Roman" w:hAnsi="Times New Roman" w:eastAsia="仿宋" w:cs="Times New Roman"/>
          <w:color w:val="auto"/>
          <w:sz w:val="24"/>
          <w:szCs w:val="24"/>
        </w:rPr>
      </w:pPr>
    </w:p>
    <w:p>
      <w:pPr>
        <w:pStyle w:val="17"/>
        <w:spacing w:line="360" w:lineRule="auto"/>
        <w:ind w:firstLine="480"/>
        <w:rPr>
          <w:rFonts w:hint="eastAsia" w:ascii="Times New Roman" w:hAnsi="Times New Roman" w:eastAsia="仿宋" w:cs="Times New Roman"/>
          <w:color w:val="auto"/>
          <w:sz w:val="24"/>
          <w:szCs w:val="24"/>
        </w:rPr>
      </w:pPr>
    </w:p>
    <w:p>
      <w:pPr>
        <w:pStyle w:val="17"/>
        <w:spacing w:line="360" w:lineRule="auto"/>
        <w:ind w:firstLine="480"/>
        <w:rPr>
          <w:rFonts w:hint="eastAsia" w:ascii="Times New Roman" w:hAnsi="Times New Roman" w:eastAsia="仿宋" w:cs="Times New Roman"/>
          <w:color w:val="auto"/>
          <w:sz w:val="24"/>
          <w:szCs w:val="24"/>
        </w:rPr>
      </w:pPr>
    </w:p>
    <w:p>
      <w:pPr>
        <w:rPr>
          <w:rFonts w:ascii="仿宋" w:hAnsi="仿宋" w:eastAsia="仿宋" w:cs="仿宋_GB2312"/>
          <w:color w:val="auto"/>
          <w:sz w:val="24"/>
          <w:szCs w:val="18"/>
          <w:lang w:eastAsia="zh-CN"/>
        </w:rPr>
      </w:pPr>
    </w:p>
    <w:p>
      <w:pPr>
        <w:rPr>
          <w:rFonts w:ascii="仿宋" w:hAnsi="仿宋" w:eastAsia="仿宋" w:cs="仿宋_GB2312"/>
          <w:color w:val="auto"/>
          <w:sz w:val="24"/>
          <w:szCs w:val="18"/>
          <w:lang w:eastAsia="zh-CN"/>
        </w:rPr>
      </w:pPr>
    </w:p>
    <w:p>
      <w:pPr>
        <w:rPr>
          <w:rFonts w:ascii="仿宋" w:hAnsi="仿宋" w:eastAsia="仿宋" w:cs="仿宋_GB2312"/>
          <w:color w:val="auto"/>
          <w:sz w:val="24"/>
          <w:szCs w:val="18"/>
          <w:lang w:eastAsia="zh-CN"/>
        </w:rPr>
      </w:pPr>
    </w:p>
    <w:p>
      <w:pPr>
        <w:pStyle w:val="17"/>
        <w:spacing w:before="156" w:beforeLines="50" w:after="156" w:afterLines="50"/>
        <w:ind w:left="425" w:hanging="424" w:hangingChars="177"/>
        <w:jc w:val="left"/>
        <w:rPr>
          <w:rFonts w:hint="eastAsia" w:ascii="黑体" w:hAnsi="黑体" w:eastAsia="黑体" w:cs="仿宋_GB2312"/>
          <w:color w:val="auto"/>
          <w:sz w:val="24"/>
          <w:szCs w:val="18"/>
          <w:lang w:eastAsia="zh-CN"/>
        </w:rPr>
      </w:pPr>
      <w:r>
        <w:rPr>
          <w:rFonts w:hint="eastAsia" w:ascii="黑体" w:hAnsi="黑体" w:eastAsia="黑体" w:cs="仿宋_GB2312"/>
          <w:color w:val="auto"/>
          <w:sz w:val="24"/>
          <w:szCs w:val="18"/>
        </w:rPr>
        <w:t>调查单位：</w:t>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hint="eastAsia" w:ascii="黑体" w:hAnsi="黑体" w:eastAsia="黑体" w:cs="仿宋_GB2312"/>
          <w:color w:val="auto"/>
          <w:sz w:val="24"/>
          <w:szCs w:val="18"/>
          <w:u w:val="single"/>
        </w:rPr>
        <w:t xml:space="preserve">    </w:t>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hint="eastAsia" w:ascii="黑体" w:hAnsi="黑体" w:eastAsia="黑体" w:cs="仿宋_GB2312"/>
          <w:color w:val="auto"/>
          <w:sz w:val="24"/>
          <w:szCs w:val="18"/>
          <w:u w:val="single"/>
          <w:lang w:eastAsia="zh-CN"/>
        </w:rPr>
        <w:t>（盖公章）</w:t>
      </w:r>
    </w:p>
    <w:p>
      <w:pPr>
        <w:pStyle w:val="17"/>
        <w:spacing w:before="156" w:beforeLines="50" w:after="156" w:afterLines="50"/>
        <w:ind w:left="425" w:hanging="424" w:hangingChars="177"/>
        <w:jc w:val="left"/>
        <w:rPr>
          <w:rFonts w:ascii="仿宋_GB2312" w:hAnsi="宋体" w:eastAsia="仿宋_GB2312" w:cs="仿宋_GB2312"/>
          <w:color w:val="auto"/>
          <w:sz w:val="24"/>
          <w:szCs w:val="18"/>
        </w:rPr>
      </w:pPr>
      <w:r>
        <w:rPr>
          <w:rFonts w:hint="eastAsia" w:ascii="黑体" w:hAnsi="黑体" w:eastAsia="黑体" w:cs="仿宋_GB2312"/>
          <w:color w:val="auto"/>
          <w:sz w:val="24"/>
          <w:szCs w:val="18"/>
        </w:rPr>
        <w:t>填</w:t>
      </w:r>
      <w:r>
        <w:rPr>
          <w:rFonts w:ascii="黑体" w:hAnsi="黑体" w:eastAsia="黑体" w:cs="仿宋_GB2312"/>
          <w:color w:val="auto"/>
          <w:sz w:val="24"/>
          <w:szCs w:val="18"/>
        </w:rPr>
        <w:t xml:space="preserve"> </w:t>
      </w:r>
      <w:r>
        <w:rPr>
          <w:rFonts w:hint="eastAsia" w:ascii="黑体" w:hAnsi="黑体" w:eastAsia="黑体" w:cs="仿宋_GB2312"/>
          <w:color w:val="auto"/>
          <w:sz w:val="24"/>
          <w:szCs w:val="18"/>
        </w:rPr>
        <w:t>表</w:t>
      </w:r>
      <w:r>
        <w:rPr>
          <w:rFonts w:ascii="黑体" w:hAnsi="黑体" w:eastAsia="黑体" w:cs="仿宋_GB2312"/>
          <w:color w:val="auto"/>
          <w:sz w:val="24"/>
          <w:szCs w:val="18"/>
        </w:rPr>
        <w:t xml:space="preserve"> </w:t>
      </w:r>
      <w:r>
        <w:rPr>
          <w:rFonts w:hint="eastAsia" w:ascii="黑体" w:hAnsi="黑体" w:eastAsia="黑体" w:cs="仿宋_GB2312"/>
          <w:color w:val="auto"/>
          <w:sz w:val="24"/>
          <w:szCs w:val="18"/>
        </w:rPr>
        <w:t>人：</w:t>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hint="eastAsia" w:ascii="黑体" w:hAnsi="黑体" w:eastAsia="黑体" w:cs="仿宋_GB2312"/>
          <w:color w:val="auto"/>
          <w:sz w:val="24"/>
          <w:szCs w:val="18"/>
          <w:u w:val="single"/>
        </w:rPr>
        <w:t xml:space="preserve">            </w:t>
      </w:r>
      <w:r>
        <w:rPr>
          <w:rFonts w:ascii="黑体" w:hAnsi="黑体" w:eastAsia="黑体" w:cs="仿宋_GB2312"/>
          <w:color w:val="auto"/>
          <w:sz w:val="24"/>
          <w:szCs w:val="18"/>
          <w:u w:val="single"/>
        </w:rPr>
        <w:tab/>
      </w:r>
      <w:r>
        <w:rPr>
          <w:rFonts w:ascii="黑体" w:hAnsi="黑体" w:eastAsia="黑体" w:cs="仿宋_GB2312"/>
          <w:color w:val="auto"/>
          <w:sz w:val="24"/>
          <w:szCs w:val="18"/>
        </w:rPr>
        <w:t xml:space="preserve">  </w:t>
      </w:r>
      <w:r>
        <w:rPr>
          <w:rFonts w:hint="eastAsia" w:ascii="黑体" w:hAnsi="黑体" w:eastAsia="黑体" w:cs="仿宋_GB2312"/>
          <w:color w:val="auto"/>
          <w:sz w:val="24"/>
          <w:szCs w:val="18"/>
        </w:rPr>
        <w:t xml:space="preserve">    手机号码：</w:t>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hint="eastAsia" w:ascii="黑体" w:hAnsi="黑体" w:eastAsia="黑体" w:cs="仿宋_GB2312"/>
          <w:color w:val="auto"/>
          <w:sz w:val="24"/>
          <w:szCs w:val="18"/>
          <w:u w:val="single"/>
        </w:rPr>
        <w:t xml:space="preserve">          </w:t>
      </w:r>
      <w:r>
        <w:rPr>
          <w:rFonts w:ascii="黑体" w:hAnsi="黑体" w:eastAsia="黑体" w:cs="仿宋_GB2312"/>
          <w:color w:val="auto"/>
          <w:sz w:val="24"/>
          <w:szCs w:val="18"/>
          <w:u w:val="single"/>
        </w:rPr>
        <w:tab/>
      </w:r>
    </w:p>
    <w:p>
      <w:pPr>
        <w:pStyle w:val="17"/>
        <w:spacing w:before="156" w:beforeLines="50" w:after="156" w:afterLines="50"/>
        <w:ind w:left="425" w:hanging="424" w:hangingChars="177"/>
        <w:jc w:val="left"/>
        <w:rPr>
          <w:rFonts w:hint="eastAsia" w:ascii="仿宋_GB2312" w:hAnsi="仿宋_GB2312" w:eastAsia="仿宋_GB2312" w:cs="仿宋_GB2312"/>
          <w:color w:val="auto"/>
          <w:sz w:val="24"/>
          <w:szCs w:val="21"/>
        </w:rPr>
      </w:pPr>
      <w:r>
        <w:rPr>
          <w:rFonts w:ascii="黑体" w:hAnsi="黑体" w:eastAsia="黑体" w:cs="仿宋_GB2312"/>
          <w:color w:val="auto"/>
          <w:sz w:val="24"/>
          <w:szCs w:val="18"/>
        </w:rPr>
        <w:t>填报时间：</w:t>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ascii="黑体" w:hAnsi="黑体" w:eastAsia="黑体" w:cs="仿宋_GB2312"/>
          <w:color w:val="auto"/>
          <w:sz w:val="24"/>
          <w:szCs w:val="18"/>
          <w:u w:val="single"/>
        </w:rPr>
        <w:tab/>
      </w:r>
      <w:r>
        <w:rPr>
          <w:rFonts w:hint="eastAsia" w:ascii="黑体" w:hAnsi="黑体" w:eastAsia="黑体" w:cs="仿宋_GB2312"/>
          <w:color w:val="auto"/>
          <w:sz w:val="24"/>
          <w:szCs w:val="18"/>
          <w:u w:val="single"/>
        </w:rPr>
        <w:t xml:space="preserve">              </w:t>
      </w:r>
      <w:r>
        <w:rPr>
          <w:rFonts w:hint="eastAsia" w:ascii="仿宋_GB2312" w:hAnsi="仿宋_GB2312" w:eastAsia="仿宋_GB2312" w:cs="仿宋_GB2312"/>
          <w:color w:val="auto"/>
          <w:sz w:val="24"/>
          <w:szCs w:val="21"/>
        </w:rPr>
        <w:br w:type="page"/>
      </w:r>
    </w:p>
    <w:p>
      <w:pPr>
        <w:pStyle w:val="1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附表</w:t>
      </w:r>
      <w:r>
        <w:rPr>
          <w:rFonts w:hint="eastAsia" w:ascii="黑体" w:hAnsi="黑体" w:eastAsia="黑体" w:cs="黑体"/>
          <w:color w:val="auto"/>
          <w:sz w:val="32"/>
          <w:szCs w:val="32"/>
          <w:lang w:val="en-US" w:eastAsia="zh-CN"/>
        </w:rPr>
        <w:t>2</w:t>
      </w:r>
    </w:p>
    <w:p>
      <w:pPr>
        <w:adjustRightInd w:val="0"/>
        <w:snapToGrid w:val="0"/>
        <w:spacing w:line="288" w:lineRule="auto"/>
        <w:jc w:val="center"/>
        <w:rPr>
          <w:rFonts w:ascii="仿宋_GB2312" w:hAnsi="仿宋_GB2312" w:eastAsia="方正小标宋简体" w:cs="方正小标宋简体"/>
          <w:color w:val="auto"/>
          <w:spacing w:val="-6"/>
          <w:sz w:val="32"/>
          <w:szCs w:val="32"/>
        </w:rPr>
      </w:pPr>
      <w:r>
        <w:rPr>
          <w:rFonts w:hint="eastAsia" w:ascii="方正小标宋简体" w:hAnsi="方正小标宋简体" w:eastAsia="方正小标宋简体" w:cs="方正小标宋简体"/>
          <w:color w:val="auto"/>
          <w:sz w:val="32"/>
          <w:szCs w:val="32"/>
          <w:lang w:eastAsia="zh-CN"/>
        </w:rPr>
        <w:t>202</w:t>
      </w:r>
      <w:r>
        <w:rPr>
          <w:rFonts w:hint="eastAsia" w:ascii="方正小标宋简体" w:hAnsi="方正小标宋简体" w:eastAsia="方正小标宋简体" w:cs="方正小标宋简体"/>
          <w:color w:val="auto"/>
          <w:sz w:val="32"/>
          <w:szCs w:val="32"/>
          <w:lang w:val="en-US" w:eastAsia="zh-CN"/>
        </w:rPr>
        <w:t>2</w:t>
      </w:r>
      <w:r>
        <w:rPr>
          <w:rFonts w:hint="eastAsia" w:ascii="方正小标宋简体" w:hAnsi="方正小标宋简体" w:eastAsia="方正小标宋简体" w:cs="方正小标宋简体"/>
          <w:color w:val="auto"/>
          <w:sz w:val="32"/>
          <w:szCs w:val="32"/>
        </w:rPr>
        <w:t>年北京市非医疗机构放射工作单位基本信息汇总表</w:t>
      </w:r>
    </w:p>
    <w:p>
      <w:pPr>
        <w:adjustRightInd w:val="0"/>
        <w:snapToGrid w:val="0"/>
        <w:spacing w:line="288" w:lineRule="auto"/>
        <w:jc w:val="center"/>
        <w:rPr>
          <w:rFonts w:ascii="仿宋_GB2312" w:hAnsi="仿宋_GB2312" w:eastAsia="黑体" w:cs="黑体"/>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lang w:val="en-US" w:eastAsia="zh-CN"/>
        </w:rPr>
        <w:t>石景山</w:t>
      </w:r>
      <w:r>
        <w:rPr>
          <w:rFonts w:hint="eastAsia" w:ascii="仿宋_GB2312" w:hAnsi="仿宋_GB2312" w:eastAsia="仿宋_GB2312" w:cs="仿宋_GB2312"/>
          <w:color w:val="auto"/>
          <w:sz w:val="32"/>
          <w:szCs w:val="32"/>
        </w:rPr>
        <w:t>区疾控中心填写)</w:t>
      </w:r>
    </w:p>
    <w:tbl>
      <w:tblPr>
        <w:tblStyle w:val="13"/>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2623"/>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jc w:val="center"/>
              <w:rPr>
                <w:rFonts w:ascii="仿宋_GB2312" w:hAnsi="仿宋_GB2312" w:eastAsia="仿宋_GB2312" w:cs="仿宋_GB2312"/>
                <w:b/>
                <w:bCs/>
                <w:color w:val="auto"/>
              </w:rPr>
            </w:pPr>
            <w:r>
              <w:rPr>
                <w:rFonts w:hint="eastAsia" w:ascii="仿宋_GB2312" w:hAnsi="仿宋_GB2312" w:eastAsia="仿宋_GB2312" w:cs="仿宋_GB2312"/>
                <w:b/>
                <w:bCs/>
                <w:color w:val="auto"/>
              </w:rPr>
              <w:t>信息内容</w:t>
            </w:r>
          </w:p>
        </w:tc>
        <w:tc>
          <w:tcPr>
            <w:tcW w:w="2623" w:type="dxa"/>
            <w:vAlign w:val="center"/>
          </w:tcPr>
          <w:p>
            <w:pPr>
              <w:adjustRightInd w:val="0"/>
              <w:snapToGrid w:val="0"/>
              <w:jc w:val="center"/>
              <w:rPr>
                <w:rFonts w:ascii="仿宋_GB2312" w:hAnsi="仿宋_GB2312" w:eastAsia="仿宋_GB2312"/>
                <w:b/>
                <w:bCs/>
                <w:color w:val="auto"/>
              </w:rPr>
            </w:pPr>
            <w:r>
              <w:rPr>
                <w:rFonts w:hint="eastAsia" w:ascii="仿宋_GB2312" w:hAnsi="仿宋_GB2312" w:eastAsia="仿宋_GB2312" w:cs="仿宋_GB2312"/>
                <w:b/>
                <w:bCs/>
                <w:color w:val="auto"/>
              </w:rPr>
              <w:t>数据</w:t>
            </w:r>
          </w:p>
        </w:tc>
        <w:tc>
          <w:tcPr>
            <w:tcW w:w="2533" w:type="dxa"/>
            <w:vAlign w:val="center"/>
          </w:tcPr>
          <w:p>
            <w:pPr>
              <w:adjustRightInd w:val="0"/>
              <w:snapToGrid w:val="0"/>
              <w:jc w:val="center"/>
              <w:rPr>
                <w:rFonts w:ascii="仿宋_GB2312" w:hAnsi="仿宋_GB2312" w:eastAsia="仿宋_GB2312"/>
                <w:b/>
                <w:bCs/>
                <w:color w:val="auto"/>
              </w:rPr>
            </w:pPr>
            <w:r>
              <w:rPr>
                <w:rFonts w:hint="eastAsia" w:ascii="仿宋_GB2312" w:hAnsi="仿宋_GB2312" w:eastAsia="仿宋_GB2312" w:cs="仿宋_GB2312"/>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s="仿宋_GB2312"/>
                <w:color w:val="auto"/>
              </w:rPr>
              <w:t>非医疗机构数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hint="eastAsia" w:ascii="仿宋_GB2312" w:hAnsi="仿宋_GB2312" w:eastAsia="仿宋_GB2312"/>
                <w:color w:val="auto"/>
              </w:rPr>
            </w:pPr>
            <w:r>
              <w:rPr>
                <w:rFonts w:hint="eastAsia" w:ascii="仿宋_GB2312" w:hAnsi="仿宋_GB2312" w:eastAsia="仿宋_GB2312"/>
                <w:color w:val="auto"/>
              </w:rPr>
              <w:t>持《辐射安全许可证》</w:t>
            </w:r>
          </w:p>
          <w:p>
            <w:pPr>
              <w:adjustRightInd w:val="0"/>
              <w:snapToGrid w:val="0"/>
              <w:rPr>
                <w:rFonts w:hint="eastAsia" w:ascii="仿宋_GB2312" w:hAnsi="仿宋_GB2312" w:eastAsia="仿宋_GB2312"/>
                <w:color w:val="auto"/>
                <w:lang w:eastAsia="zh-CN"/>
              </w:rPr>
            </w:pPr>
            <w:r>
              <w:rPr>
                <w:rFonts w:hint="eastAsia" w:ascii="仿宋_GB2312" w:hAnsi="仿宋_GB2312" w:eastAsia="仿宋_GB2312"/>
                <w:color w:val="auto"/>
              </w:rPr>
              <w:t>机构</w:t>
            </w:r>
            <w:r>
              <w:rPr>
                <w:rFonts w:hint="eastAsia" w:ascii="仿宋_GB2312" w:hAnsi="仿宋_GB2312" w:eastAsia="仿宋_GB2312"/>
                <w:color w:val="auto"/>
                <w:lang w:eastAsia="zh-CN"/>
              </w:rPr>
              <w:t>、豁免机构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exact"/>
        </w:trPr>
        <w:tc>
          <w:tcPr>
            <w:tcW w:w="3888" w:type="dxa"/>
            <w:vAlign w:val="center"/>
          </w:tcPr>
          <w:p>
            <w:pPr>
              <w:adjustRightInd w:val="0"/>
              <w:snapToGrid w:val="0"/>
              <w:rPr>
                <w:rFonts w:ascii="仿宋_GB2312" w:hAnsi="仿宋_GB2312" w:eastAsia="仿宋_GB2312" w:cs="仿宋_GB2312"/>
                <w:color w:val="auto"/>
              </w:rPr>
            </w:pPr>
            <w:r>
              <w:rPr>
                <w:rFonts w:hint="eastAsia" w:ascii="仿宋_GB2312" w:hAnsi="仿宋_GB2312" w:eastAsia="仿宋_GB2312" w:cs="仿宋_GB2312"/>
                <w:color w:val="auto"/>
              </w:rPr>
              <w:t>辖区内涉及的辐射类别</w:t>
            </w:r>
          </w:p>
        </w:tc>
        <w:tc>
          <w:tcPr>
            <w:tcW w:w="5156" w:type="dxa"/>
            <w:gridSpan w:val="2"/>
            <w:vAlign w:val="center"/>
          </w:tcPr>
          <w:p>
            <w:pPr>
              <w:adjustRightInd w:val="0"/>
              <w:snapToGrid w:val="0"/>
              <w:jc w:val="left"/>
              <w:rPr>
                <w:rFonts w:hint="eastAsia" w:ascii="仿宋_GB2312" w:hAnsi="仿宋_GB2312" w:eastAsia="仿宋_GB2312"/>
                <w:color w:val="auto"/>
                <w:lang w:eastAsia="zh-CN"/>
              </w:rPr>
            </w:pPr>
            <w:r>
              <w:rPr>
                <w:rFonts w:hint="eastAsia" w:ascii="仿宋_GB2312" w:hAnsi="仿宋_GB2312" w:eastAsia="仿宋" w:cs="仿宋"/>
                <w:color w:val="auto"/>
                <w:sz w:val="24"/>
              </w:rPr>
              <w:t>□</w:t>
            </w:r>
            <w:r>
              <w:rPr>
                <w:rFonts w:hint="eastAsia" w:ascii="仿宋_GB2312" w:hAnsi="仿宋_GB2312" w:eastAsia="仿宋_GB2312"/>
                <w:color w:val="auto"/>
              </w:rPr>
              <w:t>核电站、</w:t>
            </w:r>
            <w:r>
              <w:rPr>
                <w:rFonts w:hint="eastAsia" w:ascii="仿宋_GB2312" w:hAnsi="仿宋_GB2312" w:eastAsia="仿宋" w:cs="仿宋"/>
                <w:color w:val="auto"/>
                <w:sz w:val="24"/>
              </w:rPr>
              <w:t>□</w:t>
            </w:r>
            <w:r>
              <w:rPr>
                <w:rFonts w:hint="eastAsia" w:ascii="仿宋_GB2312" w:hAnsi="仿宋_GB2312" w:eastAsia="仿宋_GB2312"/>
                <w:color w:val="auto"/>
              </w:rPr>
              <w:t>γ辐</w:t>
            </w:r>
            <w:r>
              <w:rPr>
                <w:rFonts w:hint="eastAsia" w:ascii="仿宋_GB2312" w:hAnsi="仿宋_GB2312" w:eastAsia="仿宋_GB2312"/>
                <w:color w:val="auto"/>
                <w:lang w:eastAsia="zh-CN"/>
              </w:rPr>
              <w:t>照</w:t>
            </w:r>
            <w:r>
              <w:rPr>
                <w:rFonts w:hint="eastAsia" w:ascii="仿宋_GB2312" w:hAnsi="仿宋_GB2312" w:eastAsia="仿宋_GB2312"/>
                <w:color w:val="auto"/>
              </w:rPr>
              <w:t>装置、</w:t>
            </w:r>
            <w:r>
              <w:rPr>
                <w:rFonts w:hint="eastAsia" w:ascii="仿宋_GB2312" w:hAnsi="仿宋_GB2312" w:eastAsia="仿宋" w:cs="仿宋"/>
                <w:color w:val="auto"/>
                <w:sz w:val="24"/>
              </w:rPr>
              <w:t>□</w:t>
            </w:r>
            <w:r>
              <w:rPr>
                <w:rFonts w:hint="eastAsia" w:ascii="仿宋_GB2312" w:hAnsi="仿宋_GB2312" w:eastAsia="仿宋_GB2312"/>
                <w:color w:val="auto"/>
                <w:lang w:val="en-US" w:eastAsia="zh-CN"/>
              </w:rPr>
              <w:t>射线类</w:t>
            </w:r>
            <w:r>
              <w:rPr>
                <w:rFonts w:hint="eastAsia" w:ascii="仿宋_GB2312" w:hAnsi="仿宋_GB2312" w:eastAsia="仿宋_GB2312"/>
                <w:color w:val="auto"/>
              </w:rPr>
              <w:t>辐</w:t>
            </w:r>
            <w:r>
              <w:rPr>
                <w:rFonts w:hint="eastAsia" w:ascii="仿宋_GB2312" w:hAnsi="仿宋_GB2312" w:eastAsia="仿宋_GB2312"/>
                <w:color w:val="auto"/>
                <w:lang w:eastAsia="zh-CN"/>
              </w:rPr>
              <w:t>照</w:t>
            </w:r>
            <w:r>
              <w:rPr>
                <w:rFonts w:hint="eastAsia" w:ascii="仿宋_GB2312" w:hAnsi="仿宋_GB2312" w:eastAsia="仿宋_GB2312"/>
                <w:color w:val="auto"/>
              </w:rPr>
              <w:t>装置</w:t>
            </w:r>
            <w:r>
              <w:rPr>
                <w:rFonts w:hint="eastAsia" w:ascii="仿宋_GB2312" w:hAnsi="仿宋_GB2312" w:eastAsia="仿宋_GB2312"/>
                <w:color w:val="auto"/>
                <w:lang w:eastAsia="zh-CN"/>
              </w:rPr>
              <w:t>、</w:t>
            </w:r>
          </w:p>
          <w:p>
            <w:pPr>
              <w:adjustRightInd w:val="0"/>
              <w:snapToGrid w:val="0"/>
              <w:jc w:val="left"/>
              <w:rPr>
                <w:rFonts w:hint="eastAsia" w:ascii="仿宋_GB2312" w:hAnsi="仿宋_GB2312" w:eastAsia="仿宋_GB2312"/>
                <w:color w:val="auto"/>
                <w:lang w:eastAsia="zh-CN"/>
              </w:rPr>
            </w:pPr>
            <w:r>
              <w:rPr>
                <w:rFonts w:hint="eastAsia" w:ascii="仿宋_GB2312" w:hAnsi="仿宋_GB2312" w:eastAsia="仿宋" w:cs="仿宋"/>
                <w:color w:val="auto"/>
                <w:sz w:val="24"/>
              </w:rPr>
              <w:t>□</w:t>
            </w:r>
            <w:r>
              <w:rPr>
                <w:rFonts w:hint="eastAsia" w:ascii="仿宋_GB2312" w:hAnsi="仿宋_GB2312" w:eastAsia="仿宋_GB2312" w:cs="Times New Roman"/>
                <w:color w:val="auto"/>
                <w:lang w:eastAsia="zh-CN"/>
              </w:rPr>
              <w:t>非医用</w:t>
            </w:r>
            <w:r>
              <w:rPr>
                <w:rFonts w:hint="eastAsia" w:ascii="仿宋_GB2312" w:hAnsi="仿宋_GB2312" w:eastAsia="仿宋_GB2312"/>
                <w:color w:val="auto"/>
              </w:rPr>
              <w:t>加速器、</w:t>
            </w:r>
            <w:r>
              <w:rPr>
                <w:rFonts w:hint="eastAsia" w:ascii="仿宋_GB2312" w:hAnsi="仿宋_GB2312" w:eastAsia="仿宋" w:cs="仿宋"/>
                <w:color w:val="auto"/>
                <w:sz w:val="24"/>
              </w:rPr>
              <w:t>□</w:t>
            </w:r>
            <w:r>
              <w:rPr>
                <w:rFonts w:hint="eastAsia" w:ascii="仿宋_GB2312" w:hAnsi="仿宋_GB2312" w:eastAsia="仿宋_GB2312"/>
                <w:color w:val="auto"/>
                <w:lang w:val="en-US" w:eastAsia="zh-CN"/>
              </w:rPr>
              <w:t>X射线</w:t>
            </w:r>
            <w:r>
              <w:rPr>
                <w:rFonts w:hint="eastAsia" w:ascii="仿宋_GB2312" w:hAnsi="仿宋_GB2312" w:eastAsia="仿宋_GB2312"/>
                <w:color w:val="auto"/>
              </w:rPr>
              <w:t>工业探伤</w:t>
            </w:r>
            <w:r>
              <w:rPr>
                <w:rFonts w:hint="eastAsia" w:ascii="仿宋_GB2312" w:hAnsi="仿宋_GB2312" w:eastAsia="仿宋_GB2312"/>
                <w:color w:val="auto"/>
                <w:lang w:eastAsia="zh-CN"/>
              </w:rPr>
              <w:t>、</w:t>
            </w:r>
            <w:r>
              <w:rPr>
                <w:rFonts w:hint="eastAsia" w:ascii="仿宋_GB2312" w:hAnsi="仿宋_GB2312" w:eastAsia="仿宋" w:cs="仿宋"/>
                <w:color w:val="auto"/>
                <w:sz w:val="24"/>
              </w:rPr>
              <w:t>□</w:t>
            </w:r>
            <w:r>
              <w:rPr>
                <w:rFonts w:hint="eastAsia" w:ascii="仿宋_GB2312" w:hAnsi="仿宋_GB2312" w:eastAsia="仿宋_GB2312"/>
                <w:color w:val="auto"/>
              </w:rPr>
              <w:t>γ工业探伤、</w:t>
            </w:r>
            <w:r>
              <w:rPr>
                <w:rFonts w:hint="eastAsia" w:ascii="仿宋_GB2312" w:hAnsi="仿宋_GB2312" w:eastAsia="仿宋" w:cs="仿宋"/>
                <w:color w:val="auto"/>
                <w:sz w:val="24"/>
              </w:rPr>
              <w:t>□</w:t>
            </w:r>
            <w:r>
              <w:rPr>
                <w:rFonts w:hint="eastAsia" w:ascii="仿宋_GB2312" w:hAnsi="仿宋_GB2312" w:eastAsia="仿宋_GB2312"/>
                <w:color w:val="auto"/>
              </w:rPr>
              <w:t>行包检测仪、</w:t>
            </w:r>
            <w:r>
              <w:rPr>
                <w:rFonts w:hint="eastAsia" w:ascii="仿宋_GB2312" w:hAnsi="仿宋_GB2312" w:eastAsia="仿宋" w:cs="仿宋"/>
                <w:color w:val="auto"/>
                <w:sz w:val="24"/>
              </w:rPr>
              <w:t>□</w:t>
            </w:r>
            <w:r>
              <w:rPr>
                <w:rFonts w:hint="eastAsia" w:ascii="仿宋_GB2312" w:hAnsi="仿宋_GB2312" w:eastAsia="仿宋_GB2312"/>
                <w:color w:val="auto"/>
              </w:rPr>
              <w:t>核仪表</w:t>
            </w:r>
            <w:r>
              <w:rPr>
                <w:rFonts w:hint="eastAsia" w:ascii="仿宋_GB2312" w:hAnsi="仿宋_GB2312" w:eastAsia="仿宋_GB2312"/>
                <w:color w:val="auto"/>
                <w:lang w:eastAsia="zh-CN"/>
              </w:rPr>
              <w:t>（仅含源）</w:t>
            </w:r>
            <w:r>
              <w:rPr>
                <w:rFonts w:hint="eastAsia" w:ascii="仿宋_GB2312" w:hAnsi="仿宋_GB2312" w:eastAsia="仿宋_GB2312"/>
                <w:color w:val="auto"/>
              </w:rPr>
              <w:t>、</w:t>
            </w:r>
            <w:r>
              <w:rPr>
                <w:rFonts w:hint="eastAsia" w:ascii="仿宋_GB2312" w:hAnsi="仿宋_GB2312" w:eastAsia="仿宋" w:cs="仿宋"/>
                <w:color w:val="auto"/>
                <w:sz w:val="24"/>
              </w:rPr>
              <w:t>□</w:t>
            </w:r>
            <w:r>
              <w:rPr>
                <w:rFonts w:hint="eastAsia" w:ascii="仿宋_GB2312" w:hAnsi="仿宋_GB2312" w:eastAsia="仿宋_GB2312"/>
                <w:color w:val="auto"/>
              </w:rPr>
              <w:t>射线装置</w:t>
            </w:r>
            <w:r>
              <w:rPr>
                <w:rFonts w:hint="eastAsia" w:ascii="仿宋_GB2312" w:hAnsi="仿宋_GB2312" w:eastAsia="仿宋_GB2312"/>
                <w:color w:val="auto"/>
                <w:lang w:eastAsia="zh-CN"/>
              </w:rPr>
              <w:t>、</w:t>
            </w:r>
          </w:p>
          <w:p>
            <w:pPr>
              <w:adjustRightInd w:val="0"/>
              <w:snapToGrid w:val="0"/>
              <w:jc w:val="left"/>
              <w:rPr>
                <w:rFonts w:hint="eastAsia" w:ascii="仿宋_GB2312" w:hAnsi="仿宋_GB2312" w:eastAsia="仿宋_GB2312"/>
                <w:color w:val="auto"/>
                <w:lang w:eastAsia="zh-CN"/>
              </w:rPr>
            </w:pPr>
            <w:r>
              <w:rPr>
                <w:rFonts w:hint="eastAsia" w:ascii="仿宋_GB2312" w:hAnsi="仿宋_GB2312" w:eastAsia="仿宋" w:cs="仿宋"/>
                <w:color w:val="auto"/>
                <w:sz w:val="24"/>
              </w:rPr>
              <w:t>□</w:t>
            </w:r>
            <w:r>
              <w:rPr>
                <w:rFonts w:hint="eastAsia" w:ascii="仿宋_GB2312" w:hAnsi="仿宋_GB2312" w:eastAsia="仿宋_GB2312"/>
                <w:color w:val="auto"/>
              </w:rPr>
              <w:t>密封源测井、</w:t>
            </w:r>
            <w:r>
              <w:rPr>
                <w:rFonts w:hint="eastAsia" w:ascii="仿宋_GB2312" w:hAnsi="仿宋_GB2312" w:eastAsia="仿宋" w:cs="仿宋"/>
                <w:color w:val="auto"/>
                <w:sz w:val="24"/>
              </w:rPr>
              <w:t>□</w:t>
            </w:r>
            <w:r>
              <w:rPr>
                <w:rFonts w:hint="eastAsia" w:ascii="仿宋_GB2312" w:hAnsi="仿宋_GB2312" w:eastAsia="仿宋_GB2312"/>
                <w:color w:val="auto"/>
              </w:rPr>
              <w:t>非密封放射性物质工作场所</w:t>
            </w:r>
            <w:r>
              <w:rPr>
                <w:rFonts w:hint="eastAsia" w:ascii="仿宋_GB2312" w:hAnsi="仿宋_GB2312" w:eastAsia="仿宋_GB2312"/>
                <w:color w:val="auto"/>
                <w:lang w:eastAsia="zh-CN"/>
              </w:rPr>
              <w:t>、</w:t>
            </w:r>
          </w:p>
          <w:p>
            <w:pPr>
              <w:adjustRightInd w:val="0"/>
              <w:snapToGrid w:val="0"/>
              <w:jc w:val="left"/>
              <w:rPr>
                <w:rFonts w:ascii="仿宋_GB2312" w:hAnsi="仿宋_GB2312" w:eastAsia="仿宋_GB2312"/>
                <w:color w:val="auto"/>
              </w:rPr>
            </w:pPr>
            <w:r>
              <w:rPr>
                <w:rFonts w:hint="eastAsia" w:ascii="仿宋_GB2312" w:hAnsi="仿宋_GB2312" w:eastAsia="仿宋" w:cs="仿宋"/>
                <w:color w:val="auto"/>
                <w:sz w:val="24"/>
              </w:rPr>
              <w:sym w:font="Wingdings 2" w:char="00A3"/>
            </w:r>
            <w:r>
              <w:rPr>
                <w:rFonts w:hint="eastAsia" w:ascii="Times New Roman" w:hAnsi="Times New Roman" w:eastAsia="仿宋" w:cs="Times New Roman"/>
                <w:bCs w:val="0"/>
                <w:color w:val="auto"/>
                <w:sz w:val="24"/>
                <w:szCs w:val="24"/>
              </w:rPr>
              <w:t>兽医学</w:t>
            </w:r>
          </w:p>
          <w:p>
            <w:pPr>
              <w:adjustRightInd w:val="0"/>
              <w:snapToGrid w:val="0"/>
              <w:jc w:val="left"/>
              <w:rPr>
                <w:rFonts w:ascii="仿宋_GB2312" w:hAns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s="仿宋_GB2312"/>
                <w:color w:val="auto"/>
              </w:rPr>
              <w:t>放射工作人员数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olor w:val="auto"/>
              </w:rPr>
              <w:t>附表</w:t>
            </w:r>
            <w:r>
              <w:rPr>
                <w:rFonts w:hint="eastAsia" w:ascii="仿宋_GB2312" w:hAnsi="仿宋_GB2312" w:eastAsia="仿宋_GB2312"/>
                <w:color w:val="auto"/>
                <w:lang w:val="en-US" w:eastAsia="zh-CN"/>
              </w:rPr>
              <w:t>3</w:t>
            </w:r>
            <w:r>
              <w:rPr>
                <w:rFonts w:hint="eastAsia" w:ascii="仿宋_GB2312" w:hAnsi="仿宋_GB2312" w:eastAsia="仿宋_GB2312"/>
                <w:color w:val="auto"/>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ascii="仿宋_GB2312" w:hAnsi="仿宋_GB2312" w:eastAsia="仿宋_GB2312" w:cs="仿宋_GB2312"/>
                <w:color w:val="auto"/>
              </w:rPr>
            </w:pPr>
            <w:r>
              <w:rPr>
                <w:rFonts w:hint="eastAsia" w:ascii="仿宋_GB2312" w:hAnsi="仿宋_GB2312" w:eastAsia="仿宋_GB2312" w:cs="仿宋_GB2312"/>
                <w:color w:val="auto"/>
              </w:rPr>
              <w:t>放射工作人员个人剂量监测人数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olor w:val="auto"/>
              </w:rPr>
              <w:t>≤放射工作人员数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ascii="仿宋_GB2312" w:hAnsi="仿宋_GB2312" w:eastAsia="仿宋_GB2312" w:cs="仿宋_GB2312"/>
                <w:color w:val="auto"/>
              </w:rPr>
            </w:pPr>
            <w:r>
              <w:rPr>
                <w:rFonts w:hint="eastAsia" w:ascii="仿宋_GB2312" w:hAnsi="仿宋_GB2312" w:eastAsia="仿宋_GB2312" w:cs="仿宋_GB2312"/>
                <w:color w:val="auto"/>
              </w:rPr>
              <w:t>个人剂量监测率</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ascii="仿宋_GB2312" w:hAnsi="仿宋_GB2312" w:eastAsia="仿宋_GB2312" w:cs="仿宋_GB2312"/>
                <w:color w:val="auto"/>
              </w:rPr>
            </w:pPr>
            <w:r>
              <w:rPr>
                <w:rFonts w:hint="eastAsia" w:ascii="仿宋_GB2312" w:hAnsi="仿宋_GB2312" w:eastAsia="仿宋_GB2312" w:cs="仿宋_GB2312"/>
                <w:color w:val="auto"/>
                <w:sz w:val="22"/>
                <w:szCs w:val="22"/>
              </w:rPr>
              <w:t>年个人剂量≥20mSv的放射工作人员数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olor w:val="auto"/>
              </w:rPr>
              <w:t>附表</w:t>
            </w:r>
            <w:r>
              <w:rPr>
                <w:rFonts w:hint="eastAsia" w:ascii="仿宋_GB2312" w:hAnsi="仿宋_GB2312" w:eastAsia="仿宋_GB2312"/>
                <w:color w:val="auto"/>
                <w:lang w:val="en-US" w:eastAsia="zh-CN"/>
              </w:rPr>
              <w:t>3</w:t>
            </w:r>
            <w:r>
              <w:rPr>
                <w:rFonts w:hint="eastAsia" w:ascii="仿宋_GB2312" w:hAnsi="仿宋_GB2312" w:eastAsia="仿宋_GB2312"/>
                <w:color w:val="auto"/>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既往5年有效剂量大于20mSv</w:t>
            </w:r>
            <w:r>
              <w:rPr>
                <w:rFonts w:hint="eastAsia" w:ascii="仿宋_GB2312" w:hAnsi="仿宋_GB2312" w:eastAsia="仿宋_GB2312" w:cs="仿宋_GB2312"/>
                <w:color w:val="auto"/>
                <w:sz w:val="22"/>
                <w:szCs w:val="22"/>
                <w:lang w:eastAsia="zh-CN"/>
              </w:rPr>
              <w:t>人数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hint="eastAsia" w:ascii="仿宋_GB2312" w:hAns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确认年个人剂量≥20mSv的人数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trPr>
        <w:tc>
          <w:tcPr>
            <w:tcW w:w="3888" w:type="dxa"/>
            <w:vAlign w:val="center"/>
          </w:tcPr>
          <w:p>
            <w:pPr>
              <w:adjustRightInd w:val="0"/>
              <w:snapToGrid w:val="0"/>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职业健康检查人数（近两年度）</w:t>
            </w:r>
            <w:r>
              <w:rPr>
                <w:rFonts w:hint="eastAsia" w:ascii="仿宋_GB2312" w:hAnsi="仿宋_GB2312" w:eastAsia="仿宋_GB2312" w:cs="仿宋_GB2312"/>
                <w:color w:val="auto"/>
                <w:kern w:val="2"/>
                <w:sz w:val="22"/>
                <w:szCs w:val="22"/>
              </w:rPr>
              <w:t xml:space="preserve"> </w:t>
            </w:r>
            <w:r>
              <w:rPr>
                <w:rFonts w:hint="eastAsia" w:ascii="仿宋_GB2312" w:hAnsi="仿宋_GB2312" w:eastAsia="仿宋_GB2312" w:cs="仿宋_GB2312"/>
                <w:color w:val="auto"/>
                <w:sz w:val="22"/>
                <w:szCs w:val="22"/>
                <w:u w:val="none"/>
              </w:rPr>
              <w:t xml:space="preserve">           </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olor w:val="auto"/>
              </w:rPr>
              <w:t>附表</w:t>
            </w:r>
            <w:r>
              <w:rPr>
                <w:rFonts w:hint="eastAsia" w:ascii="仿宋_GB2312" w:hAnsi="仿宋_GB2312" w:eastAsia="仿宋_GB2312"/>
                <w:color w:val="auto"/>
                <w:lang w:val="en-US" w:eastAsia="zh-CN"/>
              </w:rPr>
              <w:t>3</w:t>
            </w:r>
            <w:r>
              <w:rPr>
                <w:rFonts w:hint="eastAsia" w:ascii="仿宋_GB2312" w:hAnsi="仿宋_GB2312" w:eastAsia="仿宋_GB2312"/>
                <w:color w:val="auto"/>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trPr>
        <w:tc>
          <w:tcPr>
            <w:tcW w:w="3888" w:type="dxa"/>
            <w:vAlign w:val="center"/>
          </w:tcPr>
          <w:p>
            <w:pPr>
              <w:adjustRightInd w:val="0"/>
              <w:snapToGrid w:val="0"/>
              <w:rPr>
                <w:rFonts w:ascii="仿宋_GB2312" w:hAnsi="仿宋_GB2312" w:eastAsia="仿宋_GB2312" w:cs="仿宋_GB2312"/>
                <w:color w:val="auto"/>
              </w:rPr>
            </w:pPr>
            <w:r>
              <w:rPr>
                <w:rFonts w:hint="eastAsia" w:ascii="仿宋_GB2312" w:hAnsi="仿宋_GB2312" w:eastAsia="仿宋_GB2312" w:cs="仿宋_GB2312"/>
                <w:color w:val="auto"/>
              </w:rPr>
              <w:t>应监测放射工作单位数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hint="eastAsia" w:ascii="仿宋_GB2312" w:hAnsi="仿宋_GB2312" w:eastAsia="仿宋_GB2312"/>
                <w:color w:val="auto"/>
                <w:lang w:eastAsia="zh-CN"/>
              </w:rPr>
            </w:pPr>
            <w:r>
              <w:rPr>
                <w:rFonts w:hint="eastAsia" w:ascii="仿宋_GB2312" w:hAnsi="仿宋_GB2312" w:eastAsia="仿宋_GB2312"/>
                <w:color w:val="auto"/>
              </w:rPr>
              <w:t>市疾控中心提供的</w:t>
            </w:r>
            <w:r>
              <w:rPr>
                <w:rFonts w:hint="eastAsia" w:ascii="仿宋_GB2312" w:hAnsi="仿宋_GB2312" w:eastAsia="仿宋_GB2312"/>
                <w:color w:val="auto"/>
                <w:lang w:eastAsia="zh-CN"/>
              </w:rPr>
              <w:t>监测</w:t>
            </w:r>
          </w:p>
          <w:p>
            <w:pPr>
              <w:adjustRightInd w:val="0"/>
              <w:snapToGrid w:val="0"/>
              <w:rPr>
                <w:rFonts w:hint="default" w:ascii="仿宋_GB2312" w:hAnsi="仿宋_GB2312" w:eastAsia="仿宋_GB2312"/>
                <w:color w:val="auto"/>
                <w:lang w:val="en-US" w:eastAsia="zh-CN"/>
              </w:rPr>
            </w:pPr>
            <w:r>
              <w:rPr>
                <w:rFonts w:hint="eastAsia" w:ascii="仿宋_GB2312" w:hAnsi="仿宋_GB2312" w:eastAsia="仿宋_GB2312"/>
                <w:color w:val="auto"/>
                <w:lang w:eastAsia="zh-CN"/>
              </w:rPr>
              <w:t>单位名单</w:t>
            </w:r>
            <w:r>
              <w:rPr>
                <w:rFonts w:hint="eastAsia" w:ascii="仿宋_GB2312" w:hAnsi="仿宋_GB2312" w:eastAsia="仿宋_GB2312"/>
                <w:color w:val="auto"/>
                <w:lang w:val="en-US" w:eastAsia="zh-CN"/>
              </w:rPr>
              <w:t>(参见附表2)</w:t>
            </w:r>
          </w:p>
          <w:p>
            <w:pPr>
              <w:adjustRightInd w:val="0"/>
              <w:snapToGrid w:val="0"/>
              <w:rPr>
                <w:rFonts w:ascii="仿宋_GB2312" w:hAnsi="仿宋_GB2312" w:eastAsia="仿宋_GB2312"/>
                <w:color w:val="auto"/>
              </w:rPr>
            </w:pPr>
            <w:r>
              <w:rPr>
                <w:rFonts w:hint="eastAsia" w:ascii="仿宋_GB2312" w:hAnsi="仿宋_GB2312" w:eastAsia="仿宋_GB2312"/>
                <w:color w:val="auto"/>
              </w:rPr>
              <w:t>用人单位名单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exact"/>
        </w:trPr>
        <w:tc>
          <w:tcPr>
            <w:tcW w:w="3888" w:type="dxa"/>
            <w:vAlign w:val="center"/>
          </w:tcPr>
          <w:p>
            <w:pPr>
              <w:adjustRightInd w:val="0"/>
              <w:snapToGrid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实际完成监测放射工作单位数</w:t>
            </w:r>
            <w:r>
              <w:rPr>
                <w:rFonts w:hint="eastAsia" w:ascii="仿宋_GB2312" w:hAnsi="仿宋_GB2312" w:eastAsia="仿宋_GB2312" w:cs="仿宋_GB2312"/>
                <w:color w:val="auto"/>
                <w:lang w:val="en-US" w:eastAsia="zh-CN"/>
              </w:rPr>
              <w:t>/</w:t>
            </w:r>
          </w:p>
          <w:p>
            <w:pPr>
              <w:adjustRightInd w:val="0"/>
              <w:snapToGrid w:val="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独立完成监测放射工作单位数</w:t>
            </w:r>
          </w:p>
        </w:tc>
        <w:tc>
          <w:tcPr>
            <w:tcW w:w="2623" w:type="dxa"/>
            <w:vAlign w:val="center"/>
          </w:tcPr>
          <w:p>
            <w:pPr>
              <w:adjustRightInd w:val="0"/>
              <w:snapToGrid w:val="0"/>
              <w:rPr>
                <w:rFonts w:ascii="仿宋_GB2312" w:hAnsi="仿宋_GB2312" w:eastAsia="仿宋_GB2312"/>
                <w:color w:val="auto"/>
              </w:rPr>
            </w:pPr>
          </w:p>
        </w:tc>
        <w:tc>
          <w:tcPr>
            <w:tcW w:w="2533" w:type="dxa"/>
            <w:vAlign w:val="center"/>
          </w:tcPr>
          <w:p>
            <w:pPr>
              <w:adjustRightInd w:val="0"/>
              <w:snapToGrid w:val="0"/>
              <w:rPr>
                <w:rFonts w:ascii="仿宋_GB2312" w:hAnsi="仿宋_GB2312" w:eastAsia="仿宋_GB2312"/>
                <w:color w:val="auto"/>
              </w:rPr>
            </w:pPr>
            <w:r>
              <w:rPr>
                <w:rFonts w:hint="eastAsia" w:ascii="仿宋_GB2312" w:hAnsi="仿宋_GB2312" w:eastAsia="仿宋_GB2312"/>
                <w:color w:val="auto"/>
              </w:rPr>
              <w:t>≤市疾控中心提供名单数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8" w:hRule="exact"/>
        </w:trPr>
        <w:tc>
          <w:tcPr>
            <w:tcW w:w="3888" w:type="dxa"/>
            <w:vAlign w:val="center"/>
          </w:tcPr>
          <w:p>
            <w:pPr>
              <w:adjustRightInd w:val="0"/>
              <w:snapToGrid w:val="0"/>
              <w:rPr>
                <w:rFonts w:ascii="仿宋_GB2312" w:hAnsi="仿宋_GB2312" w:eastAsia="仿宋_GB2312" w:cs="仿宋_GB2312"/>
                <w:color w:val="auto"/>
              </w:rPr>
            </w:pPr>
            <w:r>
              <w:rPr>
                <w:rFonts w:hint="eastAsia" w:ascii="仿宋_GB2312" w:hAnsi="仿宋_GB2312" w:eastAsia="仿宋_GB2312" w:cs="仿宋_GB2312"/>
                <w:color w:val="auto"/>
              </w:rPr>
              <w:t>监测放射工作单位辐射类别</w:t>
            </w:r>
          </w:p>
        </w:tc>
        <w:tc>
          <w:tcPr>
            <w:tcW w:w="2623" w:type="dxa"/>
            <w:vAlign w:val="center"/>
          </w:tcPr>
          <w:p>
            <w:pPr>
              <w:adjustRightInd w:val="0"/>
              <w:snapToGrid w:val="0"/>
              <w:rPr>
                <w:rFonts w:hint="eastAsia" w:ascii="仿宋_GB2312" w:hAnsi="仿宋_GB2312" w:eastAsia="仿宋_GB2312"/>
                <w:color w:val="auto"/>
              </w:rPr>
            </w:pPr>
            <w:r>
              <w:rPr>
                <w:rFonts w:hint="eastAsia" w:ascii="仿宋_GB2312" w:hAnsi="仿宋_GB2312" w:eastAsia="仿宋" w:cs="仿宋"/>
                <w:color w:val="auto"/>
                <w:sz w:val="24"/>
              </w:rPr>
              <w:t>□</w:t>
            </w:r>
            <w:r>
              <w:rPr>
                <w:rFonts w:hint="eastAsia" w:ascii="仿宋_GB2312" w:hAnsi="仿宋_GB2312" w:eastAsia="仿宋_GB2312"/>
                <w:color w:val="auto"/>
              </w:rPr>
              <w:t>γ辐照装置</w:t>
            </w:r>
          </w:p>
          <w:p>
            <w:pPr>
              <w:adjustRightInd w:val="0"/>
              <w:snapToGrid w:val="0"/>
              <w:rPr>
                <w:rFonts w:hint="eastAsia" w:ascii="仿宋_GB2312" w:hAnsi="仿宋_GB2312" w:eastAsia="仿宋_GB2312"/>
                <w:color w:val="auto"/>
                <w:lang w:eastAsia="zh-CN"/>
              </w:rPr>
            </w:pPr>
            <w:r>
              <w:rPr>
                <w:rFonts w:hint="eastAsia" w:ascii="仿宋_GB2312" w:hAnsi="仿宋_GB2312" w:eastAsia="仿宋" w:cs="仿宋"/>
                <w:color w:val="auto"/>
                <w:sz w:val="24"/>
              </w:rPr>
              <w:t>□</w:t>
            </w:r>
            <w:r>
              <w:rPr>
                <w:rFonts w:hint="eastAsia" w:ascii="仿宋_GB2312" w:hAnsi="仿宋_GB2312" w:eastAsia="仿宋_GB2312"/>
                <w:color w:val="auto"/>
                <w:lang w:eastAsia="zh-CN"/>
              </w:rPr>
              <w:t>非医用加速器</w:t>
            </w:r>
          </w:p>
          <w:p>
            <w:pPr>
              <w:pStyle w:val="2"/>
              <w:ind w:left="0" w:leftChars="0" w:firstLine="0" w:firstLineChars="0"/>
              <w:rPr>
                <w:rFonts w:hint="eastAsia"/>
                <w:color w:val="auto"/>
              </w:rPr>
            </w:pPr>
            <w:r>
              <w:rPr>
                <w:rFonts w:hint="eastAsia" w:ascii="仿宋_GB2312" w:hAnsi="仿宋_GB2312" w:eastAsia="仿宋" w:cs="仿宋"/>
                <w:color w:val="auto"/>
                <w:sz w:val="24"/>
                <w:lang w:val="en-US" w:eastAsia="zh-CN"/>
              </w:rPr>
              <w:t>□</w:t>
            </w:r>
            <w:r>
              <w:rPr>
                <w:rFonts w:hint="eastAsia" w:ascii="仿宋_GB2312" w:hAnsi="仿宋_GB2312" w:eastAsia="仿宋_GB2312" w:cs="Times New Roman"/>
                <w:color w:val="auto"/>
                <w:kern w:val="2"/>
                <w:sz w:val="21"/>
                <w:szCs w:val="24"/>
                <w:lang w:val="en-US" w:eastAsia="zh-CN" w:bidi="ar-SA"/>
              </w:rPr>
              <w:t>行包检测仪</w:t>
            </w:r>
          </w:p>
          <w:p>
            <w:pPr>
              <w:adjustRightInd w:val="0"/>
              <w:snapToGrid w:val="0"/>
              <w:ind w:left="240" w:hanging="240" w:hangingChars="100"/>
              <w:rPr>
                <w:rFonts w:hint="eastAsia" w:ascii="仿宋_GB2312" w:hAnsi="仿宋_GB2312" w:eastAsia="仿宋_GB2312"/>
                <w:color w:val="auto"/>
              </w:rPr>
            </w:pPr>
            <w:r>
              <w:rPr>
                <w:rFonts w:hint="eastAsia" w:ascii="仿宋_GB2312" w:hAnsi="仿宋_GB2312" w:eastAsia="仿宋" w:cs="仿宋"/>
                <w:color w:val="auto"/>
                <w:sz w:val="24"/>
                <w:lang w:eastAsia="zh-CN"/>
              </w:rPr>
              <w:t>□</w:t>
            </w:r>
            <w:r>
              <w:rPr>
                <w:rFonts w:hint="eastAsia" w:ascii="仿宋_GB2312" w:hAnsi="仿宋_GB2312" w:eastAsia="仿宋_GB2312"/>
                <w:color w:val="auto"/>
                <w:lang w:eastAsia="zh-CN"/>
              </w:rPr>
              <w:t>核仪表（包括含源装置和射线装置）</w:t>
            </w:r>
          </w:p>
          <w:p>
            <w:pPr>
              <w:adjustRightInd w:val="0"/>
              <w:snapToGrid w:val="0"/>
              <w:ind w:left="240" w:hanging="240" w:hangingChars="100"/>
              <w:rPr>
                <w:rFonts w:hint="eastAsia" w:ascii="仿宋_GB2312" w:hAnsi="仿宋_GB2312" w:eastAsia="仿宋_GB2312"/>
                <w:color w:val="auto"/>
                <w:lang w:val="en-US" w:eastAsia="zh-CN"/>
              </w:rPr>
            </w:pPr>
            <w:r>
              <w:rPr>
                <w:rFonts w:hint="eastAsia" w:ascii="仿宋_GB2312" w:hAnsi="仿宋_GB2312" w:eastAsia="仿宋" w:cs="仿宋"/>
                <w:color w:val="auto"/>
                <w:sz w:val="24"/>
              </w:rPr>
              <w:t>□</w:t>
            </w:r>
            <w:r>
              <w:rPr>
                <w:rFonts w:hint="eastAsia" w:ascii="仿宋_GB2312" w:hAnsi="仿宋_GB2312" w:eastAsia="仿宋_GB2312"/>
                <w:color w:val="auto"/>
                <w:lang w:val="en-US" w:eastAsia="zh-CN"/>
              </w:rPr>
              <w:t>工业探伤（包括γ射线和X射线）</w:t>
            </w:r>
          </w:p>
          <w:p>
            <w:pPr>
              <w:adjustRightInd w:val="0"/>
              <w:snapToGrid w:val="0"/>
              <w:ind w:left="240" w:hanging="240" w:hangingChars="100"/>
              <w:rPr>
                <w:rFonts w:ascii="仿宋_GB2312" w:hAnsi="仿宋_GB2312" w:eastAsia="仿宋_GB2312"/>
                <w:color w:val="auto"/>
              </w:rPr>
            </w:pPr>
            <w:r>
              <w:rPr>
                <w:rFonts w:hint="eastAsia" w:ascii="仿宋_GB2312" w:hAnsi="仿宋_GB2312" w:eastAsia="仿宋" w:cs="仿宋"/>
                <w:color w:val="auto"/>
                <w:sz w:val="24"/>
              </w:rPr>
              <w:t>□</w:t>
            </w:r>
            <w:r>
              <w:rPr>
                <w:rFonts w:hint="eastAsia" w:ascii="仿宋_GB2312" w:hAnsi="仿宋_GB2312" w:eastAsia="仿宋_GB2312"/>
                <w:color w:val="auto"/>
                <w:lang w:eastAsia="zh-CN"/>
              </w:rPr>
              <w:t>非密封放射性物质工作场所</w:t>
            </w:r>
          </w:p>
        </w:tc>
        <w:tc>
          <w:tcPr>
            <w:tcW w:w="2533" w:type="dxa"/>
            <w:vAlign w:val="center"/>
          </w:tcPr>
          <w:p>
            <w:pPr>
              <w:adjustRightInd w:val="0"/>
              <w:snapToGrid w:val="0"/>
              <w:rPr>
                <w:rFonts w:ascii="仿宋_GB2312" w:hAnsi="仿宋_GB2312" w:eastAsia="仿宋" w:cs="仿宋"/>
                <w:color w:val="auto"/>
                <w:sz w:val="24"/>
              </w:rPr>
            </w:pPr>
            <w:r>
              <w:rPr>
                <w:rFonts w:hint="eastAsia" w:ascii="仿宋_GB2312" w:hAnsi="仿宋_GB2312" w:eastAsia="仿宋_GB2312"/>
                <w:color w:val="auto"/>
              </w:rPr>
              <w:t>市疾控提供的名单</w:t>
            </w:r>
          </w:p>
        </w:tc>
      </w:tr>
    </w:tbl>
    <w:p>
      <w:pPr>
        <w:adjustRightInd w:val="0"/>
        <w:snapToGrid w:val="0"/>
        <w:ind w:firstLine="5040" w:firstLineChars="2400"/>
        <w:rPr>
          <w:rFonts w:ascii="仿宋_GB2312" w:hAnsi="仿宋_GB2312" w:eastAsia="仿宋_GB2312"/>
          <w:color w:val="auto"/>
        </w:rPr>
      </w:pPr>
      <w:r>
        <w:rPr>
          <w:rFonts w:hint="eastAsia" w:ascii="仿宋_GB2312" w:hAnsi="仿宋_GB2312" w:eastAsia="仿宋_GB2312"/>
          <w:color w:val="auto"/>
        </w:rPr>
        <w:t xml:space="preserve">  填报单位：</w:t>
      </w:r>
    </w:p>
    <w:p>
      <w:pPr>
        <w:adjustRightInd w:val="0"/>
        <w:snapToGrid w:val="0"/>
        <w:rPr>
          <w:rFonts w:hint="eastAsia"/>
          <w:color w:val="auto"/>
          <w:highlight w:val="yellow"/>
        </w:rPr>
      </w:pPr>
      <w:r>
        <w:rPr>
          <w:rFonts w:hint="eastAsia" w:ascii="仿宋_GB2312" w:hAnsi="仿宋_GB2312" w:eastAsia="仿宋_GB2312"/>
          <w:color w:val="auto"/>
        </w:rPr>
        <w:t xml:space="preserve">                                                 </w:t>
      </w:r>
      <w:r>
        <w:rPr>
          <w:rFonts w:hint="eastAsia" w:ascii="仿宋_GB2312" w:hAnsi="仿宋_GB2312" w:eastAsia="仿宋_GB2312"/>
          <w:color w:val="auto"/>
          <w:lang w:val="en-US" w:eastAsia="zh-CN"/>
        </w:rPr>
        <w:t xml:space="preserve"> </w:t>
      </w:r>
      <w:r>
        <w:rPr>
          <w:rFonts w:hint="eastAsia" w:ascii="仿宋_GB2312" w:hAnsi="仿宋_GB2312" w:eastAsia="仿宋_GB2312"/>
          <w:color w:val="auto"/>
        </w:rPr>
        <w:t>日</w:t>
      </w:r>
      <w:r>
        <w:rPr>
          <w:rFonts w:hint="eastAsia" w:ascii="仿宋_GB2312" w:hAnsi="仿宋_GB2312" w:eastAsia="仿宋_GB2312"/>
          <w:color w:val="auto"/>
          <w:lang w:val="en-US" w:eastAsia="zh-CN"/>
        </w:rPr>
        <w:t xml:space="preserve">    </w:t>
      </w:r>
      <w:r>
        <w:rPr>
          <w:rFonts w:hint="eastAsia" w:ascii="仿宋_GB2312" w:hAnsi="仿宋_GB2312" w:eastAsia="仿宋_GB2312"/>
          <w:color w:val="auto"/>
        </w:rPr>
        <w:t>期：</w:t>
      </w:r>
    </w:p>
    <w:p>
      <w:pPr>
        <w:rPr>
          <w:rFonts w:hint="eastAsia" w:ascii="仿宋_GB2312" w:eastAsia="仿宋_GB2312"/>
          <w:color w:val="auto"/>
          <w:sz w:val="32"/>
          <w:szCs w:val="32"/>
          <w:u w:val="single"/>
        </w:rPr>
      </w:pPr>
      <w:r>
        <w:rPr>
          <w:rFonts w:hint="eastAsia" w:ascii="仿宋_GB2312" w:eastAsia="仿宋_GB2312"/>
          <w:color w:val="auto"/>
          <w:sz w:val="32"/>
          <w:szCs w:val="32"/>
          <w:u w:val="single"/>
        </w:rPr>
        <w:br w:type="page"/>
      </w:r>
    </w:p>
    <w:p>
      <w:pPr>
        <w:pStyle w:val="2"/>
        <w:rPr>
          <w:rFonts w:hint="eastAsia"/>
          <w:color w:val="auto"/>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pStyle w:val="2"/>
        <w:ind w:left="0" w:leftChars="0" w:firstLine="0" w:firstLineChars="0"/>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pStyle w:val="2"/>
        <w:ind w:left="0" w:leftChars="0" w:firstLine="0" w:firstLineChars="0"/>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仿宋_GB2312" w:eastAsia="仿宋_GB2312"/>
          <w:color w:val="auto"/>
          <w:sz w:val="32"/>
          <w:szCs w:val="32"/>
          <w:u w:val="single"/>
        </w:rPr>
      </w:pPr>
    </w:p>
    <w:p>
      <w:pPr>
        <w:spacing w:line="240" w:lineRule="atLeast"/>
        <w:rPr>
          <w:rFonts w:hint="eastAsia" w:ascii="宋体" w:hAnsi="宋体"/>
          <w:color w:val="auto"/>
          <w:sz w:val="32"/>
          <w:szCs w:val="32"/>
          <w:u w:val="single"/>
        </w:rPr>
      </w:pPr>
      <w:r>
        <w:rPr>
          <w:rFonts w:hint="eastAsia" w:ascii="仿宋_GB2312" w:eastAsia="仿宋_GB2312"/>
          <w:color w:val="auto"/>
          <w:sz w:val="32"/>
          <w:szCs w:val="32"/>
          <w:u w:val="single"/>
        </w:rPr>
        <w:t xml:space="preserve">                                                        </w:t>
      </w:r>
      <w:r>
        <w:rPr>
          <w:rFonts w:ascii="仿宋_GB2312" w:eastAsia="仿宋_GB2312"/>
          <w:color w:val="auto"/>
          <w:sz w:val="32"/>
          <w:szCs w:val="32"/>
          <w:u w:val="single"/>
        </w:rPr>
        <w:t xml:space="preserve">  </w:t>
      </w:r>
    </w:p>
    <w:p>
      <w:pPr>
        <w:spacing w:line="240" w:lineRule="atLeast"/>
        <w:rPr>
          <w:rFonts w:hint="eastAsia"/>
          <w:color w:val="auto"/>
          <w:highlight w:val="yellow"/>
        </w:rPr>
      </w:pPr>
      <w:r>
        <w:rPr>
          <w:rFonts w:hint="eastAsia" w:ascii="仿宋_GB2312" w:eastAsia="仿宋_GB2312"/>
          <w:color w:val="auto"/>
          <w:sz w:val="32"/>
          <w:szCs w:val="32"/>
          <w:highlight w:val="none"/>
          <w:u w:val="single"/>
        </w:rPr>
        <w:t xml:space="preserve"> </w:t>
      </w:r>
      <w:r>
        <w:rPr>
          <w:rFonts w:hint="eastAsia" w:ascii="仿宋_GB2312" w:eastAsia="仿宋_GB2312"/>
          <w:color w:val="auto"/>
          <w:sz w:val="28"/>
          <w:szCs w:val="28"/>
          <w:highlight w:val="none"/>
          <w:u w:val="single"/>
        </w:rPr>
        <w:t>北京市石景山区卫生健康委员会</w:t>
      </w:r>
      <w:r>
        <w:rPr>
          <w:rFonts w:hint="eastAsia" w:ascii="仿宋_GB2312" w:eastAsia="仿宋_GB2312"/>
          <w:color w:val="auto"/>
          <w:sz w:val="32"/>
          <w:szCs w:val="32"/>
          <w:highlight w:val="none"/>
          <w:u w:val="single"/>
        </w:rPr>
        <w:t xml:space="preserve">  </w:t>
      </w:r>
      <w:r>
        <w:rPr>
          <w:rFonts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yellow"/>
          <w:u w:val="single"/>
          <w:lang w:val="en-US" w:eastAsia="zh-CN"/>
        </w:rPr>
        <w:t>2022</w:t>
      </w:r>
      <w:r>
        <w:rPr>
          <w:rFonts w:hint="eastAsia" w:ascii="仿宋_GB2312" w:eastAsia="仿宋_GB2312"/>
          <w:color w:val="auto"/>
          <w:sz w:val="28"/>
          <w:szCs w:val="28"/>
          <w:highlight w:val="yellow"/>
          <w:u w:val="single"/>
        </w:rPr>
        <w:t>年</w:t>
      </w:r>
      <w:r>
        <w:rPr>
          <w:rFonts w:hint="eastAsia" w:ascii="仿宋_GB2312" w:eastAsia="仿宋_GB2312"/>
          <w:color w:val="auto"/>
          <w:sz w:val="28"/>
          <w:szCs w:val="28"/>
          <w:highlight w:val="yellow"/>
          <w:u w:val="single"/>
          <w:lang w:val="en-US" w:eastAsia="zh-CN"/>
        </w:rPr>
        <w:t>8</w:t>
      </w:r>
      <w:r>
        <w:rPr>
          <w:rFonts w:hint="eastAsia" w:ascii="仿宋_GB2312" w:eastAsia="仿宋_GB2312"/>
          <w:color w:val="auto"/>
          <w:sz w:val="28"/>
          <w:szCs w:val="28"/>
          <w:highlight w:val="yellow"/>
          <w:u w:val="single"/>
        </w:rPr>
        <w:t>月</w:t>
      </w:r>
      <w:r>
        <w:rPr>
          <w:rFonts w:hint="eastAsia" w:ascii="仿宋_GB2312" w:eastAsia="仿宋_GB2312"/>
          <w:color w:val="auto"/>
          <w:sz w:val="28"/>
          <w:szCs w:val="28"/>
          <w:highlight w:val="yellow"/>
          <w:u w:val="single"/>
          <w:lang w:val="en-US" w:eastAsia="zh-CN"/>
        </w:rPr>
        <w:t>××</w:t>
      </w:r>
      <w:r>
        <w:rPr>
          <w:rFonts w:hint="eastAsia" w:ascii="仿宋_GB2312" w:eastAsia="仿宋_GB2312"/>
          <w:color w:val="auto"/>
          <w:sz w:val="28"/>
          <w:szCs w:val="28"/>
          <w:highlight w:val="yellow"/>
          <w:u w:val="single"/>
        </w:rPr>
        <w:t xml:space="preserve">日印发  </w:t>
      </w:r>
    </w:p>
    <w:sectPr>
      <w:pgSz w:w="11906" w:h="16838"/>
      <w:pgMar w:top="1701" w:right="1418" w:bottom="1418" w:left="141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fldChar w:fldCharType="begin"/>
    </w:r>
    <w:r>
      <w:rPr>
        <w:rStyle w:val="11"/>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8"/>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- 23 -</w:t>
                          </w:r>
                          <w:r>
                            <w:rPr>
                              <w:rFonts w:hint="eastAsia" w:ascii="宋体" w:hAnsi="宋体" w:cs="宋体"/>
                              <w:sz w:val="28"/>
                              <w:szCs w:val="28"/>
                              <w:lang w:val="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VM0rWtAQAARwMAAA4AAABkcnMvZTJvRG9jLnhtbK1SXWrcMBB+L+QO&#10;Qu9Zew0pW7PaUAgpgdAG0h5AK0trgf4Yadfe0wTy1kP0OKXX6Ehrb0LyVvoiz2jkb77vm1lfj9aQ&#10;g4SovWN0uagpkU74Trsdoz++316uKImJu44b7ySjRxnp9ebiw3oIrWx8700ngSCIi+0QGO1TCm1V&#10;RdFLy+PCB+mwqDxYnjCFXdUBHxDdmqqp64/V4KEL4IWMEW9vTkW6KfhKSZG+KRVlIoZR5JbKCeXc&#10;5rParHm7Ax56LSYa/B9YWK4dNj1D3fDEyR70OyirBfjoVVoIbyuvlBayaEA1y/qNmseeB1m0oDkx&#10;nG2K/w9WfD08ANEdow0ljlsc0Z+nn79/PZMmezOE2OKTx/AAUxYxzEJHBTZ/UQIZi5/Hs59yTETg&#10;5XLVrFY12i6wNieIU738HiCmL9JbkgNGAQdWfOSH+5hOT+cnuZvzt9oYvOetcWRg9NNVc1V+OFcQ&#10;3DjskamfyOYojdtxUrD13RE1Dzh0Rh1uJSXmzqGneT/mAOZgOwf7AHrXI8dl6RfD531CNoVk7nCC&#10;nRrjtIrMabPyOrzOy6uX/d/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B1TNK1rQEAAEcD&#10;AAAOAAAAAAAAAAEAIAAAAB8BAABkcnMvZTJvRG9jLnhtbFBLBQYAAAAABgAGAFkBAAA+BQAAAAA=&#10;">
              <v:fill on="f" focussize="0,0"/>
              <v:stroke on="f"/>
              <v:imagedata o:title=""/>
              <o:lock v:ext="edit" aspectratio="f"/>
              <v:textbox inset="0mm,0mm,0mm,0mm" style="mso-fit-shape-to-text:t;">
                <w:txbxContent>
                  <w:p>
                    <w:pPr>
                      <w:pStyle w:val="8"/>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- 23 -</w:t>
                    </w:r>
                    <w:r>
                      <w:rPr>
                        <w:rFonts w:hint="eastAsia" w:ascii="宋体" w:hAnsi="宋体" w:cs="宋体"/>
                        <w:sz w:val="28"/>
                        <w:szCs w:val="28"/>
                        <w:lang w:val="zh-CN"/>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jc w:val="cente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ZDhmZjhkZDNkYjRiYjVmYTFkZjQ0ZTY3MjdlMjIifQ=="/>
  </w:docVars>
  <w:rsids>
    <w:rsidRoot w:val="540E792A"/>
    <w:rsid w:val="000032D7"/>
    <w:rsid w:val="00020792"/>
    <w:rsid w:val="00027DDA"/>
    <w:rsid w:val="00034DA8"/>
    <w:rsid w:val="00041F8D"/>
    <w:rsid w:val="00042D67"/>
    <w:rsid w:val="00050691"/>
    <w:rsid w:val="00064B39"/>
    <w:rsid w:val="000673BF"/>
    <w:rsid w:val="000679AC"/>
    <w:rsid w:val="000763DF"/>
    <w:rsid w:val="00083B92"/>
    <w:rsid w:val="00093092"/>
    <w:rsid w:val="00095D90"/>
    <w:rsid w:val="000967DD"/>
    <w:rsid w:val="00097707"/>
    <w:rsid w:val="000A20F7"/>
    <w:rsid w:val="000A5CA5"/>
    <w:rsid w:val="000B3B18"/>
    <w:rsid w:val="000B7EBB"/>
    <w:rsid w:val="000C2E8E"/>
    <w:rsid w:val="000C3E26"/>
    <w:rsid w:val="000D2584"/>
    <w:rsid w:val="000D50BB"/>
    <w:rsid w:val="000E4EA4"/>
    <w:rsid w:val="000E6077"/>
    <w:rsid w:val="000F4C3C"/>
    <w:rsid w:val="000F6276"/>
    <w:rsid w:val="00104877"/>
    <w:rsid w:val="001146ED"/>
    <w:rsid w:val="00141AB8"/>
    <w:rsid w:val="00147CB8"/>
    <w:rsid w:val="0016317F"/>
    <w:rsid w:val="001824B2"/>
    <w:rsid w:val="00184D28"/>
    <w:rsid w:val="00185866"/>
    <w:rsid w:val="00186F8C"/>
    <w:rsid w:val="0019741F"/>
    <w:rsid w:val="001B6469"/>
    <w:rsid w:val="001C241D"/>
    <w:rsid w:val="001C4BE0"/>
    <w:rsid w:val="001D529E"/>
    <w:rsid w:val="001E00EA"/>
    <w:rsid w:val="001E4A7B"/>
    <w:rsid w:val="001E56C6"/>
    <w:rsid w:val="001E60E1"/>
    <w:rsid w:val="00204E1B"/>
    <w:rsid w:val="002100DB"/>
    <w:rsid w:val="002201E9"/>
    <w:rsid w:val="0022635A"/>
    <w:rsid w:val="00231293"/>
    <w:rsid w:val="00251679"/>
    <w:rsid w:val="0026448C"/>
    <w:rsid w:val="00270035"/>
    <w:rsid w:val="00270051"/>
    <w:rsid w:val="00291893"/>
    <w:rsid w:val="002A1A5F"/>
    <w:rsid w:val="002B37FA"/>
    <w:rsid w:val="002B43D7"/>
    <w:rsid w:val="002B4D24"/>
    <w:rsid w:val="002C38B5"/>
    <w:rsid w:val="002E2681"/>
    <w:rsid w:val="002F1AB0"/>
    <w:rsid w:val="002F286B"/>
    <w:rsid w:val="002F3469"/>
    <w:rsid w:val="00305E8E"/>
    <w:rsid w:val="00307E61"/>
    <w:rsid w:val="003119DE"/>
    <w:rsid w:val="003143F2"/>
    <w:rsid w:val="0031687B"/>
    <w:rsid w:val="00326AC8"/>
    <w:rsid w:val="00331643"/>
    <w:rsid w:val="00333BE5"/>
    <w:rsid w:val="00336269"/>
    <w:rsid w:val="00360B79"/>
    <w:rsid w:val="00362A4B"/>
    <w:rsid w:val="00363DB6"/>
    <w:rsid w:val="003748C0"/>
    <w:rsid w:val="003774E8"/>
    <w:rsid w:val="00390A1F"/>
    <w:rsid w:val="003941D6"/>
    <w:rsid w:val="003C148E"/>
    <w:rsid w:val="003C3794"/>
    <w:rsid w:val="003C6DEB"/>
    <w:rsid w:val="003C7B3D"/>
    <w:rsid w:val="003E6B1A"/>
    <w:rsid w:val="003F09CB"/>
    <w:rsid w:val="003F6381"/>
    <w:rsid w:val="003F714C"/>
    <w:rsid w:val="00404212"/>
    <w:rsid w:val="00406833"/>
    <w:rsid w:val="00416439"/>
    <w:rsid w:val="00417728"/>
    <w:rsid w:val="0042055C"/>
    <w:rsid w:val="00422DDB"/>
    <w:rsid w:val="00424456"/>
    <w:rsid w:val="004318E0"/>
    <w:rsid w:val="00435920"/>
    <w:rsid w:val="004366A4"/>
    <w:rsid w:val="00441062"/>
    <w:rsid w:val="004460C0"/>
    <w:rsid w:val="004466DC"/>
    <w:rsid w:val="00454625"/>
    <w:rsid w:val="004725FC"/>
    <w:rsid w:val="004819DF"/>
    <w:rsid w:val="0049384C"/>
    <w:rsid w:val="00497BEF"/>
    <w:rsid w:val="004A6B26"/>
    <w:rsid w:val="004B5D71"/>
    <w:rsid w:val="004C5692"/>
    <w:rsid w:val="004D52E9"/>
    <w:rsid w:val="004D66EB"/>
    <w:rsid w:val="004F2AD6"/>
    <w:rsid w:val="00500EB6"/>
    <w:rsid w:val="00536411"/>
    <w:rsid w:val="00541082"/>
    <w:rsid w:val="00553578"/>
    <w:rsid w:val="005563E7"/>
    <w:rsid w:val="00575AB9"/>
    <w:rsid w:val="00583038"/>
    <w:rsid w:val="005836E4"/>
    <w:rsid w:val="00594DD6"/>
    <w:rsid w:val="005B27EB"/>
    <w:rsid w:val="005B2BE7"/>
    <w:rsid w:val="005B4C0A"/>
    <w:rsid w:val="005C4172"/>
    <w:rsid w:val="005D3582"/>
    <w:rsid w:val="005E7EFB"/>
    <w:rsid w:val="005F4413"/>
    <w:rsid w:val="00617AB4"/>
    <w:rsid w:val="00626693"/>
    <w:rsid w:val="00627283"/>
    <w:rsid w:val="00637917"/>
    <w:rsid w:val="0064290D"/>
    <w:rsid w:val="00644D96"/>
    <w:rsid w:val="006506C8"/>
    <w:rsid w:val="00657947"/>
    <w:rsid w:val="00661383"/>
    <w:rsid w:val="00663967"/>
    <w:rsid w:val="00664CB2"/>
    <w:rsid w:val="00666BDD"/>
    <w:rsid w:val="00681AA4"/>
    <w:rsid w:val="00693A68"/>
    <w:rsid w:val="006A70C6"/>
    <w:rsid w:val="006B1EC6"/>
    <w:rsid w:val="006B3522"/>
    <w:rsid w:val="006B5A79"/>
    <w:rsid w:val="006B6C4A"/>
    <w:rsid w:val="00704405"/>
    <w:rsid w:val="00705A96"/>
    <w:rsid w:val="007061C7"/>
    <w:rsid w:val="00706883"/>
    <w:rsid w:val="007131EB"/>
    <w:rsid w:val="00713AB6"/>
    <w:rsid w:val="00735FF1"/>
    <w:rsid w:val="007433C6"/>
    <w:rsid w:val="007435D8"/>
    <w:rsid w:val="007472C6"/>
    <w:rsid w:val="00750F7C"/>
    <w:rsid w:val="00754FA2"/>
    <w:rsid w:val="00755597"/>
    <w:rsid w:val="007678E3"/>
    <w:rsid w:val="0079128A"/>
    <w:rsid w:val="007A3271"/>
    <w:rsid w:val="007A6492"/>
    <w:rsid w:val="007A6FCD"/>
    <w:rsid w:val="007B43E9"/>
    <w:rsid w:val="007C1BA7"/>
    <w:rsid w:val="007D6FB5"/>
    <w:rsid w:val="007E77AA"/>
    <w:rsid w:val="007F2EF7"/>
    <w:rsid w:val="00802193"/>
    <w:rsid w:val="00814358"/>
    <w:rsid w:val="00820008"/>
    <w:rsid w:val="008224CF"/>
    <w:rsid w:val="0083627D"/>
    <w:rsid w:val="0085135D"/>
    <w:rsid w:val="00852DD7"/>
    <w:rsid w:val="00860C2C"/>
    <w:rsid w:val="008844E9"/>
    <w:rsid w:val="0089476D"/>
    <w:rsid w:val="008A44EE"/>
    <w:rsid w:val="008C142F"/>
    <w:rsid w:val="008D78E6"/>
    <w:rsid w:val="008E4E27"/>
    <w:rsid w:val="008F2F04"/>
    <w:rsid w:val="008F4E42"/>
    <w:rsid w:val="00910DC6"/>
    <w:rsid w:val="00911E02"/>
    <w:rsid w:val="00922F8A"/>
    <w:rsid w:val="00930775"/>
    <w:rsid w:val="009327C1"/>
    <w:rsid w:val="00932EC5"/>
    <w:rsid w:val="00934830"/>
    <w:rsid w:val="009422AE"/>
    <w:rsid w:val="009468BF"/>
    <w:rsid w:val="00952045"/>
    <w:rsid w:val="009575E5"/>
    <w:rsid w:val="009751D1"/>
    <w:rsid w:val="00985B57"/>
    <w:rsid w:val="00986394"/>
    <w:rsid w:val="009866F7"/>
    <w:rsid w:val="009901E2"/>
    <w:rsid w:val="009D396D"/>
    <w:rsid w:val="009E3F3E"/>
    <w:rsid w:val="009F2B20"/>
    <w:rsid w:val="009F5040"/>
    <w:rsid w:val="009F633C"/>
    <w:rsid w:val="00A0511E"/>
    <w:rsid w:val="00A0703E"/>
    <w:rsid w:val="00A118F7"/>
    <w:rsid w:val="00A11A73"/>
    <w:rsid w:val="00A11C8B"/>
    <w:rsid w:val="00A13908"/>
    <w:rsid w:val="00A31426"/>
    <w:rsid w:val="00A53BFD"/>
    <w:rsid w:val="00A71B7A"/>
    <w:rsid w:val="00A806A1"/>
    <w:rsid w:val="00A946C1"/>
    <w:rsid w:val="00A95D5C"/>
    <w:rsid w:val="00AB1CD4"/>
    <w:rsid w:val="00AB7064"/>
    <w:rsid w:val="00AD3C58"/>
    <w:rsid w:val="00AE373E"/>
    <w:rsid w:val="00AE435B"/>
    <w:rsid w:val="00AE5928"/>
    <w:rsid w:val="00AF1471"/>
    <w:rsid w:val="00AF6489"/>
    <w:rsid w:val="00B06206"/>
    <w:rsid w:val="00B10611"/>
    <w:rsid w:val="00B1481D"/>
    <w:rsid w:val="00B2686C"/>
    <w:rsid w:val="00B347F0"/>
    <w:rsid w:val="00B35C43"/>
    <w:rsid w:val="00B5182E"/>
    <w:rsid w:val="00B566FD"/>
    <w:rsid w:val="00B61D95"/>
    <w:rsid w:val="00B64B09"/>
    <w:rsid w:val="00B704ED"/>
    <w:rsid w:val="00B72160"/>
    <w:rsid w:val="00B763AB"/>
    <w:rsid w:val="00B8134A"/>
    <w:rsid w:val="00B8540C"/>
    <w:rsid w:val="00B862E5"/>
    <w:rsid w:val="00B92A58"/>
    <w:rsid w:val="00BA2D10"/>
    <w:rsid w:val="00BA7E47"/>
    <w:rsid w:val="00BB5E5A"/>
    <w:rsid w:val="00BB7279"/>
    <w:rsid w:val="00BC2C80"/>
    <w:rsid w:val="00BC43AC"/>
    <w:rsid w:val="00BC6DF4"/>
    <w:rsid w:val="00BC7161"/>
    <w:rsid w:val="00BD1940"/>
    <w:rsid w:val="00BD7AF6"/>
    <w:rsid w:val="00C02254"/>
    <w:rsid w:val="00C069E9"/>
    <w:rsid w:val="00C203DC"/>
    <w:rsid w:val="00C2627D"/>
    <w:rsid w:val="00C36051"/>
    <w:rsid w:val="00C369FE"/>
    <w:rsid w:val="00C525EF"/>
    <w:rsid w:val="00C546F1"/>
    <w:rsid w:val="00C55429"/>
    <w:rsid w:val="00C66D62"/>
    <w:rsid w:val="00C72BDB"/>
    <w:rsid w:val="00C873E3"/>
    <w:rsid w:val="00CA1178"/>
    <w:rsid w:val="00CA1E3E"/>
    <w:rsid w:val="00CA4F62"/>
    <w:rsid w:val="00CA687D"/>
    <w:rsid w:val="00CA6D4A"/>
    <w:rsid w:val="00CC045C"/>
    <w:rsid w:val="00CC3984"/>
    <w:rsid w:val="00CC6C70"/>
    <w:rsid w:val="00CC6E11"/>
    <w:rsid w:val="00CD495D"/>
    <w:rsid w:val="00CE3E6A"/>
    <w:rsid w:val="00CF5F2F"/>
    <w:rsid w:val="00D03F88"/>
    <w:rsid w:val="00D26A6B"/>
    <w:rsid w:val="00D369AD"/>
    <w:rsid w:val="00D41963"/>
    <w:rsid w:val="00D45262"/>
    <w:rsid w:val="00D61C95"/>
    <w:rsid w:val="00D6772B"/>
    <w:rsid w:val="00D77604"/>
    <w:rsid w:val="00D77AFE"/>
    <w:rsid w:val="00D8137E"/>
    <w:rsid w:val="00D86878"/>
    <w:rsid w:val="00DA585C"/>
    <w:rsid w:val="00DA6018"/>
    <w:rsid w:val="00DB073F"/>
    <w:rsid w:val="00DC31B1"/>
    <w:rsid w:val="00DC6F3A"/>
    <w:rsid w:val="00DE72CD"/>
    <w:rsid w:val="00E2147C"/>
    <w:rsid w:val="00E352E9"/>
    <w:rsid w:val="00E4062A"/>
    <w:rsid w:val="00E55BD7"/>
    <w:rsid w:val="00E77A27"/>
    <w:rsid w:val="00EA4861"/>
    <w:rsid w:val="00EA48EE"/>
    <w:rsid w:val="00EB5751"/>
    <w:rsid w:val="00EB7D3F"/>
    <w:rsid w:val="00EE7084"/>
    <w:rsid w:val="00F2298A"/>
    <w:rsid w:val="00F42FCC"/>
    <w:rsid w:val="00F46784"/>
    <w:rsid w:val="00F64FD0"/>
    <w:rsid w:val="00F72D27"/>
    <w:rsid w:val="00F7491A"/>
    <w:rsid w:val="00F8293A"/>
    <w:rsid w:val="00F853CB"/>
    <w:rsid w:val="00F86D14"/>
    <w:rsid w:val="00F94F6F"/>
    <w:rsid w:val="00FA2447"/>
    <w:rsid w:val="00FB677A"/>
    <w:rsid w:val="00FF08C5"/>
    <w:rsid w:val="010F56C0"/>
    <w:rsid w:val="017C4EB1"/>
    <w:rsid w:val="02423D64"/>
    <w:rsid w:val="02C0098C"/>
    <w:rsid w:val="03E90A10"/>
    <w:rsid w:val="049E39C8"/>
    <w:rsid w:val="04FE068E"/>
    <w:rsid w:val="050B6556"/>
    <w:rsid w:val="054A45E8"/>
    <w:rsid w:val="057A5F0F"/>
    <w:rsid w:val="074B0926"/>
    <w:rsid w:val="07F146D0"/>
    <w:rsid w:val="08297EF4"/>
    <w:rsid w:val="0944357A"/>
    <w:rsid w:val="09CE7820"/>
    <w:rsid w:val="0A7A5115"/>
    <w:rsid w:val="0C75293A"/>
    <w:rsid w:val="0E1A5E18"/>
    <w:rsid w:val="0E32348C"/>
    <w:rsid w:val="0FC579DA"/>
    <w:rsid w:val="109E1DFF"/>
    <w:rsid w:val="10C924C0"/>
    <w:rsid w:val="10CF233D"/>
    <w:rsid w:val="110B7C67"/>
    <w:rsid w:val="1117604E"/>
    <w:rsid w:val="11587B55"/>
    <w:rsid w:val="115B6A5B"/>
    <w:rsid w:val="11823044"/>
    <w:rsid w:val="122F4AC1"/>
    <w:rsid w:val="141637D4"/>
    <w:rsid w:val="141D22CB"/>
    <w:rsid w:val="15DE3AC2"/>
    <w:rsid w:val="167919A4"/>
    <w:rsid w:val="16E90AAF"/>
    <w:rsid w:val="173D00E4"/>
    <w:rsid w:val="176F69F0"/>
    <w:rsid w:val="1782721A"/>
    <w:rsid w:val="17B93603"/>
    <w:rsid w:val="191D6079"/>
    <w:rsid w:val="19296173"/>
    <w:rsid w:val="192B6711"/>
    <w:rsid w:val="19A4718C"/>
    <w:rsid w:val="1A642F77"/>
    <w:rsid w:val="1A872E07"/>
    <w:rsid w:val="1AA77A55"/>
    <w:rsid w:val="1AD977DB"/>
    <w:rsid w:val="1B7D76C7"/>
    <w:rsid w:val="1BB27720"/>
    <w:rsid w:val="1BE604D8"/>
    <w:rsid w:val="1C895534"/>
    <w:rsid w:val="1CAC5D41"/>
    <w:rsid w:val="1D881029"/>
    <w:rsid w:val="1E766113"/>
    <w:rsid w:val="1EBB569A"/>
    <w:rsid w:val="1EC522CF"/>
    <w:rsid w:val="1F774C3F"/>
    <w:rsid w:val="1FC24463"/>
    <w:rsid w:val="20007538"/>
    <w:rsid w:val="200A55B8"/>
    <w:rsid w:val="20482833"/>
    <w:rsid w:val="20871F12"/>
    <w:rsid w:val="20E145A7"/>
    <w:rsid w:val="21740807"/>
    <w:rsid w:val="22480D09"/>
    <w:rsid w:val="23715D2D"/>
    <w:rsid w:val="23890329"/>
    <w:rsid w:val="245F6323"/>
    <w:rsid w:val="246277AD"/>
    <w:rsid w:val="24B37BDB"/>
    <w:rsid w:val="25724689"/>
    <w:rsid w:val="267C16E7"/>
    <w:rsid w:val="26CC689C"/>
    <w:rsid w:val="26DF0B68"/>
    <w:rsid w:val="275757FE"/>
    <w:rsid w:val="275F0C3F"/>
    <w:rsid w:val="27CD35BC"/>
    <w:rsid w:val="27F147C9"/>
    <w:rsid w:val="282A0099"/>
    <w:rsid w:val="285139FB"/>
    <w:rsid w:val="2894506E"/>
    <w:rsid w:val="28BE0807"/>
    <w:rsid w:val="28D60DAF"/>
    <w:rsid w:val="28E53965"/>
    <w:rsid w:val="2931293E"/>
    <w:rsid w:val="293B6BD0"/>
    <w:rsid w:val="296527A7"/>
    <w:rsid w:val="299F320B"/>
    <w:rsid w:val="29C0329D"/>
    <w:rsid w:val="2A487214"/>
    <w:rsid w:val="2A6A55AB"/>
    <w:rsid w:val="2A7A7CF6"/>
    <w:rsid w:val="2BEE111F"/>
    <w:rsid w:val="2C6055D7"/>
    <w:rsid w:val="2C732932"/>
    <w:rsid w:val="2C8E427A"/>
    <w:rsid w:val="2CF05177"/>
    <w:rsid w:val="2E3F0260"/>
    <w:rsid w:val="2EC3335F"/>
    <w:rsid w:val="2FED237B"/>
    <w:rsid w:val="30AE61D1"/>
    <w:rsid w:val="30CB71D9"/>
    <w:rsid w:val="31941714"/>
    <w:rsid w:val="324C6230"/>
    <w:rsid w:val="3278794E"/>
    <w:rsid w:val="32796B14"/>
    <w:rsid w:val="32CB039B"/>
    <w:rsid w:val="32EF1EF9"/>
    <w:rsid w:val="32F10E84"/>
    <w:rsid w:val="32F65EAB"/>
    <w:rsid w:val="33095FE1"/>
    <w:rsid w:val="33BC0DBE"/>
    <w:rsid w:val="340A785E"/>
    <w:rsid w:val="34123A8C"/>
    <w:rsid w:val="343625FB"/>
    <w:rsid w:val="347D19D0"/>
    <w:rsid w:val="34C87DCF"/>
    <w:rsid w:val="35092CCA"/>
    <w:rsid w:val="36232929"/>
    <w:rsid w:val="365616E0"/>
    <w:rsid w:val="367F3EC5"/>
    <w:rsid w:val="368C59D1"/>
    <w:rsid w:val="37D179A4"/>
    <w:rsid w:val="37DE25DC"/>
    <w:rsid w:val="37F3396C"/>
    <w:rsid w:val="3858394C"/>
    <w:rsid w:val="38BA63DB"/>
    <w:rsid w:val="39185A2F"/>
    <w:rsid w:val="392509EE"/>
    <w:rsid w:val="39346325"/>
    <w:rsid w:val="39516E47"/>
    <w:rsid w:val="3ABC61DD"/>
    <w:rsid w:val="3B112962"/>
    <w:rsid w:val="3BB81DC7"/>
    <w:rsid w:val="3BFC5C58"/>
    <w:rsid w:val="3C001AE2"/>
    <w:rsid w:val="3C392E21"/>
    <w:rsid w:val="3C977208"/>
    <w:rsid w:val="3CB22153"/>
    <w:rsid w:val="3CB3530F"/>
    <w:rsid w:val="3CE956BE"/>
    <w:rsid w:val="3D363099"/>
    <w:rsid w:val="3DBF018B"/>
    <w:rsid w:val="3DCE7FD5"/>
    <w:rsid w:val="3E91175D"/>
    <w:rsid w:val="3EF66CEE"/>
    <w:rsid w:val="3F11331E"/>
    <w:rsid w:val="3F2B4BDD"/>
    <w:rsid w:val="3F9121EC"/>
    <w:rsid w:val="3FE823D6"/>
    <w:rsid w:val="408E23DB"/>
    <w:rsid w:val="41675394"/>
    <w:rsid w:val="41A57A5A"/>
    <w:rsid w:val="41C33C6D"/>
    <w:rsid w:val="42885C1B"/>
    <w:rsid w:val="42B01A87"/>
    <w:rsid w:val="435E2E33"/>
    <w:rsid w:val="43767D9A"/>
    <w:rsid w:val="467D3488"/>
    <w:rsid w:val="46B71B37"/>
    <w:rsid w:val="46BA6A66"/>
    <w:rsid w:val="47501CE0"/>
    <w:rsid w:val="47580847"/>
    <w:rsid w:val="47681AC1"/>
    <w:rsid w:val="47753642"/>
    <w:rsid w:val="47DC04AB"/>
    <w:rsid w:val="482D25C0"/>
    <w:rsid w:val="49216822"/>
    <w:rsid w:val="4A195D59"/>
    <w:rsid w:val="4B073905"/>
    <w:rsid w:val="4B3F7304"/>
    <w:rsid w:val="4BE45FEF"/>
    <w:rsid w:val="4C676E2B"/>
    <w:rsid w:val="4CEA3B4C"/>
    <w:rsid w:val="4D4715A5"/>
    <w:rsid w:val="4D4E29D4"/>
    <w:rsid w:val="4D524CF2"/>
    <w:rsid w:val="4E285EAE"/>
    <w:rsid w:val="4E2D1C4C"/>
    <w:rsid w:val="4E9A7E71"/>
    <w:rsid w:val="4F404473"/>
    <w:rsid w:val="4FD752E6"/>
    <w:rsid w:val="50BB2A2C"/>
    <w:rsid w:val="53B45BF1"/>
    <w:rsid w:val="53EE2076"/>
    <w:rsid w:val="540E792A"/>
    <w:rsid w:val="54280C15"/>
    <w:rsid w:val="543B0340"/>
    <w:rsid w:val="562C3CE5"/>
    <w:rsid w:val="5736007D"/>
    <w:rsid w:val="57896DB2"/>
    <w:rsid w:val="57E43896"/>
    <w:rsid w:val="5865408A"/>
    <w:rsid w:val="58AD196C"/>
    <w:rsid w:val="59415B77"/>
    <w:rsid w:val="5A463190"/>
    <w:rsid w:val="5C2B29B6"/>
    <w:rsid w:val="5C8217A4"/>
    <w:rsid w:val="5D587A52"/>
    <w:rsid w:val="5DF20068"/>
    <w:rsid w:val="5E0D1B47"/>
    <w:rsid w:val="5E20550E"/>
    <w:rsid w:val="5E5A1750"/>
    <w:rsid w:val="5E5C0CEB"/>
    <w:rsid w:val="5F4341F7"/>
    <w:rsid w:val="604155B2"/>
    <w:rsid w:val="604F32A9"/>
    <w:rsid w:val="606224A6"/>
    <w:rsid w:val="60E83B83"/>
    <w:rsid w:val="618F3A59"/>
    <w:rsid w:val="63DB1500"/>
    <w:rsid w:val="65481CA3"/>
    <w:rsid w:val="660561D4"/>
    <w:rsid w:val="666062D5"/>
    <w:rsid w:val="66DF102C"/>
    <w:rsid w:val="673B455F"/>
    <w:rsid w:val="67FF0033"/>
    <w:rsid w:val="68A9449E"/>
    <w:rsid w:val="68C91BEA"/>
    <w:rsid w:val="695A39A6"/>
    <w:rsid w:val="695A4A55"/>
    <w:rsid w:val="698A34A9"/>
    <w:rsid w:val="69EF7540"/>
    <w:rsid w:val="6B3049E9"/>
    <w:rsid w:val="6B895D94"/>
    <w:rsid w:val="6BCB38B7"/>
    <w:rsid w:val="6C14298A"/>
    <w:rsid w:val="6C8C7122"/>
    <w:rsid w:val="6CD503F9"/>
    <w:rsid w:val="6CE2078A"/>
    <w:rsid w:val="6EB436D3"/>
    <w:rsid w:val="6F3A4469"/>
    <w:rsid w:val="6F75606F"/>
    <w:rsid w:val="70980BDC"/>
    <w:rsid w:val="70C8007D"/>
    <w:rsid w:val="726D5D7D"/>
    <w:rsid w:val="730C4765"/>
    <w:rsid w:val="732111F1"/>
    <w:rsid w:val="736C2342"/>
    <w:rsid w:val="738B004C"/>
    <w:rsid w:val="73AD39FE"/>
    <w:rsid w:val="73EA7E14"/>
    <w:rsid w:val="74277452"/>
    <w:rsid w:val="74672640"/>
    <w:rsid w:val="74E452C6"/>
    <w:rsid w:val="754B1E7A"/>
    <w:rsid w:val="755249D6"/>
    <w:rsid w:val="764C4C07"/>
    <w:rsid w:val="76BE7811"/>
    <w:rsid w:val="770678F9"/>
    <w:rsid w:val="77BD7F31"/>
    <w:rsid w:val="783926D5"/>
    <w:rsid w:val="788F0122"/>
    <w:rsid w:val="79163440"/>
    <w:rsid w:val="79F411B7"/>
    <w:rsid w:val="79F654AD"/>
    <w:rsid w:val="7A005F37"/>
    <w:rsid w:val="7A0144EE"/>
    <w:rsid w:val="7BBC60BD"/>
    <w:rsid w:val="7D612C87"/>
    <w:rsid w:val="7DCB603C"/>
    <w:rsid w:val="7DD068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340" w:after="320"/>
      <w:outlineLvl w:val="0"/>
    </w:pPr>
    <w:rPr>
      <w:b/>
      <w:color w:val="000000"/>
      <w:sz w:val="44"/>
      <w:szCs w:val="20"/>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subject"/>
    <w:basedOn w:val="5"/>
    <w:next w:val="5"/>
    <w:link w:val="32"/>
    <w:qFormat/>
    <w:uiPriority w:val="0"/>
    <w:rPr>
      <w:b/>
      <w:bCs/>
    </w:rPr>
  </w:style>
  <w:style w:type="paragraph" w:styleId="5">
    <w:name w:val="annotation text"/>
    <w:basedOn w:val="1"/>
    <w:link w:val="26"/>
    <w:qFormat/>
    <w:uiPriority w:val="0"/>
    <w:pPr>
      <w:jc w:val="left"/>
    </w:pPr>
    <w:rPr>
      <w:rFonts w:ascii="Calibri" w:hAnsi="Calibri"/>
      <w:szCs w:val="21"/>
    </w:rPr>
  </w:style>
  <w:style w:type="paragraph" w:styleId="6">
    <w:name w:val="Date"/>
    <w:basedOn w:val="1"/>
    <w:next w:val="1"/>
    <w:qFormat/>
    <w:uiPriority w:val="0"/>
    <w:pPr>
      <w:ind w:left="100" w:leftChars="2500"/>
    </w:pPr>
  </w:style>
  <w:style w:type="paragraph" w:styleId="7">
    <w:name w:val="Balloon Text"/>
    <w:basedOn w:val="1"/>
    <w:link w:val="31"/>
    <w:semiHidden/>
    <w:qFormat/>
    <w:uiPriority w:val="99"/>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99"/>
  </w:style>
  <w:style w:type="character" w:styleId="12">
    <w:name w:val="annotation reference"/>
    <w:qFormat/>
    <w:uiPriority w:val="0"/>
    <w:rPr>
      <w:sz w:val="21"/>
      <w:szCs w:val="21"/>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_Style 2"/>
    <w:basedOn w:val="1"/>
    <w:qFormat/>
    <w:uiPriority w:val="99"/>
    <w:pPr>
      <w:ind w:firstLine="420" w:firstLineChars="200"/>
    </w:pPr>
    <w:rPr>
      <w:rFonts w:ascii="Calibri" w:hAnsi="Calibri" w:cs="Calibri"/>
      <w:szCs w:val="21"/>
    </w:rPr>
  </w:style>
  <w:style w:type="paragraph" w:customStyle="1" w:styleId="16">
    <w:name w:val="样式1"/>
    <w:basedOn w:val="1"/>
    <w:qFormat/>
    <w:uiPriority w:val="99"/>
    <w:rPr>
      <w:rFonts w:ascii="仿宋_GB2312" w:eastAsia="仿宋_GB2312" w:cs="仿宋_GB2312"/>
      <w:sz w:val="28"/>
      <w:szCs w:val="28"/>
    </w:rPr>
  </w:style>
  <w:style w:type="paragraph" w:customStyle="1" w:styleId="17">
    <w:name w:val="List Paragraph"/>
    <w:basedOn w:val="1"/>
    <w:qFormat/>
    <w:uiPriority w:val="34"/>
    <w:pPr>
      <w:ind w:firstLine="420" w:firstLineChars="200"/>
    </w:pPr>
  </w:style>
  <w:style w:type="paragraph" w:customStyle="1" w:styleId="18">
    <w:name w:val=" Char"/>
    <w:basedOn w:val="1"/>
    <w:qFormat/>
    <w:uiPriority w:val="0"/>
    <w:rPr>
      <w:rFonts w:ascii="宋体" w:hAnsi="宋体" w:cs="Courier New"/>
      <w:sz w:val="32"/>
      <w:szCs w:val="32"/>
    </w:rPr>
  </w:style>
  <w:style w:type="paragraph" w:customStyle="1" w:styleId="19">
    <w:name w:val="_Style 1"/>
    <w:basedOn w:val="1"/>
    <w:qFormat/>
    <w:uiPriority w:val="99"/>
    <w:pPr>
      <w:ind w:firstLine="420" w:firstLineChars="200"/>
    </w:pPr>
    <w:rPr>
      <w:rFonts w:ascii="Calibri" w:hAnsi="Calibri" w:cs="Calibri"/>
      <w:szCs w:val="21"/>
    </w:rPr>
  </w:style>
  <w:style w:type="paragraph" w:customStyle="1" w:styleId="20">
    <w:name w:val=" Char1 Char Char Char"/>
    <w:basedOn w:val="1"/>
    <w:qFormat/>
    <w:uiPriority w:val="0"/>
    <w:pPr>
      <w:adjustRightInd w:val="0"/>
      <w:snapToGrid w:val="0"/>
      <w:spacing w:line="500" w:lineRule="exact"/>
      <w:ind w:firstLine="440" w:firstLineChars="200"/>
    </w:pPr>
    <w:rPr>
      <w:rFonts w:ascii="Tahoma" w:hAnsi="Tahoma" w:eastAsia="仿宋_GB2312"/>
      <w:sz w:val="24"/>
      <w:szCs w:val="20"/>
    </w:rPr>
  </w:style>
  <w:style w:type="paragraph" w:customStyle="1" w:styleId="21">
    <w:name w:val="Default"/>
    <w:qFormat/>
    <w:uiPriority w:val="0"/>
    <w:pPr>
      <w:widowControl w:val="0"/>
      <w:autoSpaceDE w:val="0"/>
      <w:autoSpaceDN w:val="0"/>
      <w:adjustRightInd w:val="0"/>
    </w:pPr>
    <w:rPr>
      <w:rFonts w:ascii="楷体_GB2312" w:hAnsi="等线" w:eastAsia="楷体_GB2312" w:cs="楷体_GB2312"/>
      <w:color w:val="000000"/>
      <w:sz w:val="24"/>
      <w:szCs w:val="24"/>
      <w:lang w:val="en-US" w:eastAsia="zh-CN" w:bidi="ar-SA"/>
    </w:rPr>
  </w:style>
  <w:style w:type="paragraph" w:customStyle="1" w:styleId="22">
    <w:name w:val="Char Char Char Char"/>
    <w:basedOn w:val="1"/>
    <w:qFormat/>
    <w:uiPriority w:val="99"/>
    <w:rPr>
      <w:rFonts w:ascii="宋体" w:hAnsi="宋体" w:cs="宋体"/>
      <w:sz w:val="32"/>
      <w:szCs w:val="32"/>
    </w:rPr>
  </w:style>
  <w:style w:type="paragraph" w:customStyle="1" w:styleId="23">
    <w:name w:val="_Style 22"/>
    <w:basedOn w:val="1"/>
    <w:qFormat/>
    <w:uiPriority w:val="99"/>
    <w:pPr>
      <w:ind w:firstLine="420" w:firstLineChars="200"/>
    </w:pPr>
    <w:rPr>
      <w:rFonts w:ascii="Calibri" w:hAnsi="Calibri" w:cs="Calibri"/>
      <w:szCs w:val="21"/>
    </w:rPr>
  </w:style>
  <w:style w:type="paragraph" w:customStyle="1" w:styleId="24">
    <w:name w:val="Char"/>
    <w:basedOn w:val="1"/>
    <w:qFormat/>
    <w:uiPriority w:val="99"/>
    <w:rPr>
      <w:rFonts w:ascii="宋体" w:hAnsi="宋体" w:cs="宋体"/>
      <w:sz w:val="32"/>
      <w:szCs w:val="32"/>
    </w:rPr>
  </w:style>
  <w:style w:type="paragraph" w:customStyle="1" w:styleId="25">
    <w:name w:val="大标题"/>
    <w:basedOn w:val="1"/>
    <w:next w:val="1"/>
    <w:qFormat/>
    <w:uiPriority w:val="0"/>
    <w:pPr>
      <w:widowControl/>
      <w:snapToGrid w:val="0"/>
      <w:spacing w:line="600" w:lineRule="exact"/>
      <w:ind w:left="340" w:right="340"/>
      <w:jc w:val="center"/>
    </w:pPr>
    <w:rPr>
      <w:color w:val="000000"/>
      <w:sz w:val="44"/>
      <w:szCs w:val="20"/>
    </w:rPr>
  </w:style>
  <w:style w:type="character" w:customStyle="1" w:styleId="26">
    <w:name w:val="批注文字 字符"/>
    <w:link w:val="5"/>
    <w:qFormat/>
    <w:uiPriority w:val="0"/>
    <w:rPr>
      <w:rFonts w:ascii="Calibri" w:hAnsi="Calibri" w:cs="Calibri"/>
      <w:kern w:val="2"/>
      <w:sz w:val="21"/>
      <w:szCs w:val="21"/>
    </w:rPr>
  </w:style>
  <w:style w:type="character" w:customStyle="1" w:styleId="27">
    <w:name w:val="font11"/>
    <w:qFormat/>
    <w:uiPriority w:val="0"/>
    <w:rPr>
      <w:rFonts w:hint="eastAsia" w:ascii="宋体" w:hAnsi="宋体" w:eastAsia="宋体" w:cs="宋体"/>
      <w:b/>
      <w:color w:val="000000"/>
      <w:sz w:val="22"/>
      <w:szCs w:val="22"/>
      <w:u w:val="none"/>
    </w:rPr>
  </w:style>
  <w:style w:type="character" w:customStyle="1" w:styleId="28">
    <w:name w:val="font21"/>
    <w:qFormat/>
    <w:uiPriority w:val="0"/>
    <w:rPr>
      <w:rFonts w:hint="eastAsia" w:ascii="宋体" w:hAnsi="宋体" w:eastAsia="宋体" w:cs="宋体"/>
      <w:color w:val="000000"/>
      <w:sz w:val="22"/>
      <w:szCs w:val="22"/>
      <w:u w:val="none"/>
    </w:rPr>
  </w:style>
  <w:style w:type="character" w:customStyle="1" w:styleId="29">
    <w:name w:val="页脚 字符"/>
    <w:link w:val="8"/>
    <w:qFormat/>
    <w:uiPriority w:val="99"/>
    <w:rPr>
      <w:kern w:val="2"/>
      <w:sz w:val="18"/>
      <w:szCs w:val="18"/>
    </w:rPr>
  </w:style>
  <w:style w:type="character" w:customStyle="1" w:styleId="30">
    <w:name w:val="页眉 字符"/>
    <w:link w:val="9"/>
    <w:qFormat/>
    <w:locked/>
    <w:uiPriority w:val="99"/>
    <w:rPr>
      <w:kern w:val="2"/>
      <w:sz w:val="18"/>
      <w:szCs w:val="18"/>
    </w:rPr>
  </w:style>
  <w:style w:type="character" w:customStyle="1" w:styleId="31">
    <w:name w:val="批注框文本 字符"/>
    <w:link w:val="7"/>
    <w:semiHidden/>
    <w:qFormat/>
    <w:uiPriority w:val="99"/>
    <w:rPr>
      <w:kern w:val="2"/>
      <w:sz w:val="18"/>
      <w:szCs w:val="18"/>
    </w:rPr>
  </w:style>
  <w:style w:type="character" w:customStyle="1" w:styleId="32">
    <w:name w:val="批注主题 字符"/>
    <w:link w:val="4"/>
    <w:qFormat/>
    <w:uiPriority w:val="0"/>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5918;&#23556;&#21355;&#29983;&#30417;&#27979;\2020&#25918;&#23556;&#30417;&#27979;\&#21306;&#32423;&#25991;&#20214;\&#33609;&#31295;\&#21355;&#20581;&#22996;&#25991;&#21495;&#29256;\&#21271;&#20140;&#24066;&#30707;&#26223;&#23665;&#21306;&#21355;&#29983;&#20581;&#24247;&#22996;&#21592;&#20250;&#20851;&#20110;&#21360;&#21457;&#12298;2020&#24180;&#30707;&#26223;&#23665;&#21306;&#25918;&#23556;&#21355;&#29983;&#30417;&#27979;&#26377;&#20851;&#39033;&#30446;&#24037;&#20316;&#26041;&#26696;&#12299;&#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北京市石景山区卫生健康委员会关于印发《2020年石景山区放射卫生监测有关项目工作方案》的通知.doc</Template>
  <Company>卫计委</Company>
  <Pages>4</Pages>
  <Words>400</Words>
  <Characters>458</Characters>
  <Lines>115</Lines>
  <Paragraphs>32</Paragraphs>
  <ScaleCrop>false</ScaleCrop>
  <LinksUpToDate>false</LinksUpToDate>
  <CharactersWithSpaces>542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2021-07-06T07:46:00Z</dcterms:created>
  <dc:creator>孟庆晨</dc:creator>
  <cp:lastModifiedBy>LH</cp:lastModifiedBy>
  <dcterms:modified xsi:type="dcterms:W3CDTF">2022-09-02T08:53:30Z</dcterms:modified>
  <dc:title>北京市石景山区卫生和计划生育委员会关于印发《2018年石景山区职业病防治（放射卫生）项目工作方案》的通知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F5B9C3C040D8432287268479124E9C1E</vt:lpwstr>
  </property>
</Properties>
</file>